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9B" w:rsidRPr="00A623D9" w:rsidRDefault="00895E9B" w:rsidP="00A623D9">
      <w:pPr>
        <w:pStyle w:val="Heading1"/>
        <w:rPr>
          <w:sz w:val="28"/>
          <w:lang w:val="en-US"/>
        </w:rPr>
      </w:pPr>
      <w:r w:rsidRPr="00A623D9">
        <w:rPr>
          <w:sz w:val="28"/>
          <w:lang w:val="en-US"/>
        </w:rPr>
        <w:t>Notice of Extraordinary General Meeting of the shareholders in Intrum Justitia AB (publ)</w:t>
      </w:r>
    </w:p>
    <w:p w:rsidR="00A623D9" w:rsidRDefault="00A623D9" w:rsidP="00A623D9">
      <w:pPr>
        <w:pStyle w:val="BodyText"/>
        <w:rPr>
          <w:lang w:val="en-US"/>
        </w:rPr>
      </w:pPr>
      <w:bookmarkStart w:id="0" w:name="_GoBack"/>
      <w:bookmarkEnd w:id="0"/>
    </w:p>
    <w:p w:rsidR="00895E9B" w:rsidRDefault="00895E9B" w:rsidP="00A623D9">
      <w:pPr>
        <w:pStyle w:val="Ingress"/>
        <w:rPr>
          <w:lang w:val="en-US"/>
        </w:rPr>
      </w:pPr>
      <w:r>
        <w:rPr>
          <w:lang w:val="en-US"/>
        </w:rPr>
        <w:t>The shareholders of Intrum Justitia AB (publ) are hereby summoned to an Extraordinary General Meeting on Wednesday 14 December 2016, at 10 a.m. at the Company’s premises, Hesselmanstorg 14 in Nacka, Stockholm, Sweden. Coffee is served from 9.30 a.m.</w:t>
      </w:r>
    </w:p>
    <w:p w:rsidR="00895E9B" w:rsidRPr="001F443A" w:rsidRDefault="00895E9B" w:rsidP="00895E9B">
      <w:pPr>
        <w:pStyle w:val="Heading3"/>
        <w:rPr>
          <w:lang w:val="en-US"/>
        </w:rPr>
      </w:pPr>
      <w:r w:rsidRPr="001F443A">
        <w:rPr>
          <w:lang w:val="en-US"/>
        </w:rPr>
        <w:t>Participation</w:t>
      </w:r>
    </w:p>
    <w:p w:rsidR="00895E9B" w:rsidRDefault="00895E9B" w:rsidP="00895E9B">
      <w:pPr>
        <w:pStyle w:val="BodyText"/>
        <w:jc w:val="both"/>
        <w:rPr>
          <w:lang w:val="en-US"/>
        </w:rPr>
      </w:pPr>
      <w:r>
        <w:rPr>
          <w:lang w:val="en-US"/>
        </w:rPr>
        <w:t xml:space="preserve">Shareholders who wish to attend the General Meeting shall </w:t>
      </w:r>
    </w:p>
    <w:p w:rsidR="00895E9B" w:rsidRDefault="00895E9B" w:rsidP="00895E9B">
      <w:pPr>
        <w:pStyle w:val="BodyText"/>
        <w:jc w:val="both"/>
        <w:rPr>
          <w:lang w:val="en-US"/>
        </w:rPr>
      </w:pPr>
    </w:p>
    <w:p w:rsidR="00895E9B" w:rsidRDefault="00895E9B" w:rsidP="00895E9B">
      <w:pPr>
        <w:pStyle w:val="BodyText"/>
        <w:ind w:left="1134" w:hanging="1134"/>
        <w:jc w:val="both"/>
        <w:rPr>
          <w:rFonts w:cstheme="minorHAnsi"/>
          <w:szCs w:val="20"/>
          <w:lang w:val="en-US"/>
        </w:rPr>
      </w:pPr>
      <w:r w:rsidRPr="000D7650">
        <w:rPr>
          <w:rFonts w:cstheme="minorHAnsi"/>
          <w:i/>
          <w:szCs w:val="20"/>
          <w:lang w:val="en-US"/>
        </w:rPr>
        <w:t xml:space="preserve">both </w:t>
      </w:r>
      <w:r w:rsidRPr="000D7650">
        <w:rPr>
          <w:rFonts w:cstheme="minorHAnsi"/>
          <w:szCs w:val="20"/>
          <w:lang w:val="en-US"/>
        </w:rPr>
        <w:tab/>
        <w:t xml:space="preserve">be </w:t>
      </w:r>
      <w:r>
        <w:rPr>
          <w:rFonts w:cstheme="minorHAnsi"/>
          <w:szCs w:val="20"/>
          <w:lang w:val="en-US"/>
        </w:rPr>
        <w:t xml:space="preserve">entered in the company’s register of </w:t>
      </w:r>
      <w:r w:rsidRPr="000D7650">
        <w:rPr>
          <w:rFonts w:cstheme="minorHAnsi"/>
          <w:szCs w:val="20"/>
          <w:lang w:val="en-US"/>
        </w:rPr>
        <w:t xml:space="preserve">shareholders </w:t>
      </w:r>
      <w:r>
        <w:rPr>
          <w:rFonts w:cstheme="minorHAnsi"/>
          <w:szCs w:val="20"/>
          <w:lang w:val="en-US"/>
        </w:rPr>
        <w:t xml:space="preserve">kept by </w:t>
      </w:r>
      <w:r w:rsidRPr="000D7650">
        <w:rPr>
          <w:rFonts w:cstheme="minorHAnsi"/>
          <w:szCs w:val="20"/>
          <w:lang w:val="en-US"/>
        </w:rPr>
        <w:t>Euroclear Sweden AB (</w:t>
      </w:r>
      <w:r>
        <w:rPr>
          <w:rFonts w:cstheme="minorHAnsi"/>
          <w:szCs w:val="20"/>
          <w:lang w:val="en-US"/>
        </w:rPr>
        <w:t>not nominee-registered</w:t>
      </w:r>
      <w:r w:rsidRPr="000D7650">
        <w:rPr>
          <w:rFonts w:cstheme="minorHAnsi"/>
          <w:szCs w:val="20"/>
          <w:lang w:val="en-US"/>
        </w:rPr>
        <w:t xml:space="preserve">) </w:t>
      </w:r>
      <w:r>
        <w:rPr>
          <w:rFonts w:cstheme="minorHAnsi"/>
          <w:szCs w:val="20"/>
          <w:lang w:val="en-US"/>
        </w:rPr>
        <w:t>by</w:t>
      </w:r>
      <w:r w:rsidRPr="000D7650">
        <w:rPr>
          <w:rFonts w:cstheme="minorHAnsi"/>
          <w:szCs w:val="20"/>
          <w:lang w:val="en-US"/>
        </w:rPr>
        <w:t xml:space="preserve"> </w:t>
      </w:r>
      <w:r>
        <w:rPr>
          <w:rFonts w:cstheme="minorHAnsi"/>
          <w:szCs w:val="20"/>
          <w:lang w:val="en-US"/>
        </w:rPr>
        <w:t>Thurs</w:t>
      </w:r>
      <w:r w:rsidRPr="000D7650">
        <w:rPr>
          <w:rFonts w:cstheme="minorHAnsi"/>
          <w:szCs w:val="20"/>
          <w:lang w:val="en-US"/>
        </w:rPr>
        <w:t xml:space="preserve">day, </w:t>
      </w:r>
      <w:r>
        <w:rPr>
          <w:rFonts w:cstheme="minorHAnsi"/>
          <w:szCs w:val="20"/>
          <w:lang w:val="en-US"/>
        </w:rPr>
        <w:t xml:space="preserve">8 December </w:t>
      </w:r>
      <w:r w:rsidRPr="000D7650">
        <w:rPr>
          <w:rFonts w:cstheme="minorHAnsi"/>
          <w:szCs w:val="20"/>
          <w:lang w:val="en-US"/>
        </w:rPr>
        <w:t>201</w:t>
      </w:r>
      <w:r>
        <w:rPr>
          <w:rFonts w:cstheme="minorHAnsi"/>
          <w:szCs w:val="20"/>
          <w:lang w:val="en-US"/>
        </w:rPr>
        <w:t>6</w:t>
      </w:r>
      <w:r w:rsidRPr="000D7650">
        <w:rPr>
          <w:rFonts w:cstheme="minorHAnsi"/>
          <w:szCs w:val="20"/>
          <w:lang w:val="en-US"/>
        </w:rPr>
        <w:t xml:space="preserve"> </w:t>
      </w:r>
    </w:p>
    <w:p w:rsidR="00895E9B" w:rsidRPr="002B2663" w:rsidRDefault="00895E9B" w:rsidP="00895E9B">
      <w:pPr>
        <w:pStyle w:val="BodyText"/>
        <w:ind w:left="1134" w:hanging="1134"/>
        <w:jc w:val="both"/>
        <w:rPr>
          <w:lang w:val="en-US"/>
        </w:rPr>
      </w:pPr>
      <w:r w:rsidRPr="000D7650">
        <w:rPr>
          <w:rFonts w:cstheme="minorHAnsi"/>
          <w:i/>
          <w:szCs w:val="20"/>
          <w:lang w:val="en-US"/>
        </w:rPr>
        <w:t>and</w:t>
      </w:r>
      <w:r>
        <w:rPr>
          <w:rFonts w:cstheme="minorHAnsi"/>
          <w:i/>
          <w:szCs w:val="20"/>
          <w:lang w:val="en-US"/>
        </w:rPr>
        <w:tab/>
      </w:r>
      <w:r w:rsidRPr="002B2663">
        <w:rPr>
          <w:lang w:val="en-US"/>
        </w:rPr>
        <w:t>notify the</w:t>
      </w:r>
      <w:r>
        <w:rPr>
          <w:lang w:val="en-US"/>
        </w:rPr>
        <w:t>ir</w:t>
      </w:r>
      <w:r w:rsidRPr="002B2663">
        <w:rPr>
          <w:lang w:val="en-US"/>
        </w:rPr>
        <w:t xml:space="preserve"> intention to </w:t>
      </w:r>
      <w:r>
        <w:rPr>
          <w:lang w:val="en-US"/>
        </w:rPr>
        <w:t>attend</w:t>
      </w:r>
      <w:r w:rsidRPr="002B2663">
        <w:rPr>
          <w:lang w:val="en-US"/>
        </w:rPr>
        <w:t xml:space="preserve"> the </w:t>
      </w:r>
      <w:r>
        <w:rPr>
          <w:lang w:val="en-US"/>
        </w:rPr>
        <w:t>m</w:t>
      </w:r>
      <w:r w:rsidRPr="002B2663">
        <w:rPr>
          <w:lang w:val="en-US"/>
        </w:rPr>
        <w:t xml:space="preserve">eeting </w:t>
      </w:r>
      <w:r>
        <w:rPr>
          <w:lang w:val="en-US"/>
        </w:rPr>
        <w:t>by</w:t>
      </w:r>
      <w:r w:rsidRPr="002B2663">
        <w:rPr>
          <w:lang w:val="en-US"/>
        </w:rPr>
        <w:t xml:space="preserve"> </w:t>
      </w:r>
      <w:r>
        <w:rPr>
          <w:rFonts w:cstheme="minorHAnsi"/>
          <w:szCs w:val="20"/>
          <w:lang w:val="en-US"/>
        </w:rPr>
        <w:t>Thurs</w:t>
      </w:r>
      <w:r w:rsidRPr="000D7650">
        <w:rPr>
          <w:rFonts w:cstheme="minorHAnsi"/>
          <w:szCs w:val="20"/>
          <w:lang w:val="en-US"/>
        </w:rPr>
        <w:t xml:space="preserve">day, </w:t>
      </w:r>
      <w:r>
        <w:rPr>
          <w:rFonts w:cstheme="minorHAnsi"/>
          <w:szCs w:val="20"/>
          <w:lang w:val="en-US"/>
        </w:rPr>
        <w:t xml:space="preserve">8 December </w:t>
      </w:r>
      <w:r w:rsidRPr="002B2663">
        <w:rPr>
          <w:lang w:val="en-US"/>
        </w:rPr>
        <w:t>201</w:t>
      </w:r>
      <w:r>
        <w:rPr>
          <w:lang w:val="en-US"/>
        </w:rPr>
        <w:t>6 at the latest</w:t>
      </w:r>
      <w:r w:rsidRPr="002B2663">
        <w:rPr>
          <w:lang w:val="en-US"/>
        </w:rPr>
        <w:t>.</w:t>
      </w:r>
    </w:p>
    <w:p w:rsidR="00895E9B" w:rsidRDefault="00895E9B" w:rsidP="00895E9B">
      <w:pPr>
        <w:pStyle w:val="BodyText"/>
        <w:jc w:val="both"/>
        <w:rPr>
          <w:lang w:val="en-US"/>
        </w:rPr>
      </w:pPr>
    </w:p>
    <w:p w:rsidR="00895E9B" w:rsidRDefault="00895E9B" w:rsidP="00895E9B">
      <w:pPr>
        <w:pStyle w:val="BodyText"/>
        <w:jc w:val="both"/>
        <w:rPr>
          <w:lang w:val="en-US"/>
        </w:rPr>
      </w:pPr>
      <w:r>
        <w:rPr>
          <w:lang w:val="en-US"/>
        </w:rPr>
        <w:t xml:space="preserve">The notification shall be made in writing to Intrum Justitia AB, “Extrastämma”, 105 24 Stockholm, by e-mail to </w:t>
      </w:r>
      <w:hyperlink r:id="rId9" w:history="1">
        <w:r w:rsidRPr="00B84E61">
          <w:rPr>
            <w:rStyle w:val="Hyperlink"/>
          </w:rPr>
          <w:t>e</w:t>
        </w:r>
        <w:r w:rsidRPr="00B84E61">
          <w:rPr>
            <w:rStyle w:val="Hyperlink"/>
            <w:lang w:val="en-US"/>
          </w:rPr>
          <w:t>gm@intrum.com</w:t>
        </w:r>
      </w:hyperlink>
      <w:r>
        <w:rPr>
          <w:lang w:val="en-US"/>
        </w:rPr>
        <w:t xml:space="preserve"> or by phone +46 (8) 616 77 00. The notification shall include:</w:t>
      </w:r>
    </w:p>
    <w:p w:rsidR="00895E9B" w:rsidRDefault="00895E9B" w:rsidP="00895E9B">
      <w:pPr>
        <w:pStyle w:val="BodyText"/>
        <w:jc w:val="both"/>
        <w:rPr>
          <w:lang w:val="en-US"/>
        </w:rPr>
      </w:pPr>
    </w:p>
    <w:p w:rsidR="00895E9B" w:rsidRDefault="00895E9B" w:rsidP="00895E9B">
      <w:pPr>
        <w:pStyle w:val="BodyText"/>
        <w:numPr>
          <w:ilvl w:val="0"/>
          <w:numId w:val="8"/>
        </w:numPr>
        <w:jc w:val="both"/>
        <w:rPr>
          <w:lang w:val="en-US"/>
        </w:rPr>
      </w:pPr>
      <w:r>
        <w:rPr>
          <w:lang w:val="en-US"/>
        </w:rPr>
        <w:t>name</w:t>
      </w:r>
    </w:p>
    <w:p w:rsidR="00895E9B" w:rsidRDefault="00895E9B" w:rsidP="00895E9B">
      <w:pPr>
        <w:pStyle w:val="BodyText"/>
        <w:numPr>
          <w:ilvl w:val="0"/>
          <w:numId w:val="8"/>
        </w:numPr>
        <w:jc w:val="both"/>
        <w:rPr>
          <w:lang w:val="en-US"/>
        </w:rPr>
      </w:pPr>
      <w:r>
        <w:rPr>
          <w:lang w:val="en-US"/>
        </w:rPr>
        <w:t>personal identity number / registration number</w:t>
      </w:r>
    </w:p>
    <w:p w:rsidR="00895E9B" w:rsidRDefault="00895E9B" w:rsidP="00895E9B">
      <w:pPr>
        <w:pStyle w:val="BodyText"/>
        <w:numPr>
          <w:ilvl w:val="0"/>
          <w:numId w:val="8"/>
        </w:numPr>
        <w:jc w:val="both"/>
        <w:rPr>
          <w:lang w:val="en-US"/>
        </w:rPr>
      </w:pPr>
      <w:r>
        <w:rPr>
          <w:lang w:val="en-US"/>
        </w:rPr>
        <w:t>telephone number (daytime)</w:t>
      </w:r>
    </w:p>
    <w:p w:rsidR="00895E9B" w:rsidRDefault="00895E9B" w:rsidP="00895E9B">
      <w:pPr>
        <w:pStyle w:val="BodyText"/>
        <w:numPr>
          <w:ilvl w:val="0"/>
          <w:numId w:val="8"/>
        </w:numPr>
        <w:jc w:val="both"/>
        <w:rPr>
          <w:lang w:val="en-US"/>
        </w:rPr>
      </w:pPr>
      <w:r>
        <w:rPr>
          <w:lang w:val="en-US"/>
        </w:rPr>
        <w:t>registered shareholding</w:t>
      </w:r>
    </w:p>
    <w:p w:rsidR="00895E9B" w:rsidRDefault="00895E9B" w:rsidP="00895E9B">
      <w:pPr>
        <w:pStyle w:val="BodyText"/>
        <w:numPr>
          <w:ilvl w:val="0"/>
          <w:numId w:val="8"/>
        </w:numPr>
        <w:jc w:val="both"/>
        <w:rPr>
          <w:lang w:val="en-US"/>
        </w:rPr>
      </w:pPr>
      <w:r>
        <w:rPr>
          <w:lang w:val="en-US"/>
        </w:rPr>
        <w:t>information on potential assistants (maximum two)</w:t>
      </w:r>
    </w:p>
    <w:p w:rsidR="00895E9B" w:rsidRDefault="00895E9B" w:rsidP="00895E9B">
      <w:pPr>
        <w:pStyle w:val="BodyText"/>
        <w:numPr>
          <w:ilvl w:val="0"/>
          <w:numId w:val="8"/>
        </w:numPr>
        <w:jc w:val="both"/>
        <w:rPr>
          <w:lang w:val="en-US"/>
        </w:rPr>
      </w:pPr>
      <w:r>
        <w:rPr>
          <w:lang w:val="en-US"/>
        </w:rPr>
        <w:t>where applicable, information on deputies or representatives</w:t>
      </w:r>
    </w:p>
    <w:p w:rsidR="00895E9B" w:rsidRDefault="00895E9B" w:rsidP="00895E9B">
      <w:pPr>
        <w:pStyle w:val="BodyText"/>
        <w:jc w:val="both"/>
        <w:rPr>
          <w:lang w:val="en-US"/>
        </w:rPr>
      </w:pPr>
    </w:p>
    <w:p w:rsidR="00895E9B" w:rsidRDefault="00895E9B" w:rsidP="00895E9B">
      <w:pPr>
        <w:pStyle w:val="BodyText"/>
        <w:jc w:val="both"/>
        <w:rPr>
          <w:lang w:val="en-US"/>
        </w:rPr>
      </w:pPr>
      <w:r>
        <w:rPr>
          <w:lang w:val="en-US"/>
        </w:rPr>
        <w:t>Shareholders represented by proxy shall send the written, dated and by the shareholder signed proxy to the company in original in ample time before the General Meeting. Attested copies of the certificate of registration (or equivalent authorization documents) evidencing the authority to issue the proxy, shall be enclosed</w:t>
      </w:r>
      <w:r w:rsidRPr="00FC3207">
        <w:rPr>
          <w:lang w:val="en-US"/>
        </w:rPr>
        <w:t xml:space="preserve"> </w:t>
      </w:r>
      <w:r>
        <w:rPr>
          <w:lang w:val="en-US"/>
        </w:rPr>
        <w:t>if the proxy is issued by a legal entity. A proxy form is available on the company’s website, www.intrum.com.</w:t>
      </w:r>
    </w:p>
    <w:p w:rsidR="00895E9B" w:rsidRDefault="00895E9B" w:rsidP="00895E9B">
      <w:pPr>
        <w:pStyle w:val="BodyText"/>
        <w:jc w:val="both"/>
        <w:rPr>
          <w:lang w:val="en-US"/>
        </w:rPr>
      </w:pPr>
    </w:p>
    <w:p w:rsidR="00895E9B" w:rsidRDefault="00895E9B" w:rsidP="00895E9B">
      <w:pPr>
        <w:pStyle w:val="BodyText"/>
        <w:jc w:val="both"/>
        <w:rPr>
          <w:lang w:val="en-US"/>
        </w:rPr>
      </w:pPr>
      <w:r>
        <w:rPr>
          <w:lang w:val="en-US"/>
        </w:rPr>
        <w:t xml:space="preserve">Shareholders whose shares are nominee-registered must have their shares temporarily registered with Euroclear Sweden AB in their own name. Such re-registration must be effected by </w:t>
      </w:r>
      <w:r>
        <w:rPr>
          <w:rFonts w:cstheme="minorHAnsi"/>
          <w:szCs w:val="20"/>
          <w:lang w:val="en-US"/>
        </w:rPr>
        <w:t>Thurs</w:t>
      </w:r>
      <w:r w:rsidRPr="000D7650">
        <w:rPr>
          <w:rFonts w:cstheme="minorHAnsi"/>
          <w:szCs w:val="20"/>
          <w:lang w:val="en-US"/>
        </w:rPr>
        <w:t xml:space="preserve">day, </w:t>
      </w:r>
      <w:r>
        <w:rPr>
          <w:rFonts w:cstheme="minorHAnsi"/>
          <w:szCs w:val="20"/>
          <w:lang w:val="en-US"/>
        </w:rPr>
        <w:t xml:space="preserve">8 December </w:t>
      </w:r>
      <w:r>
        <w:rPr>
          <w:lang w:val="en-US"/>
        </w:rPr>
        <w:t>2016. Shareholders should thus make the request via their nominee in ample time before this date. Such registration may be temporary.</w:t>
      </w:r>
    </w:p>
    <w:p w:rsidR="00895E9B" w:rsidRDefault="00895E9B" w:rsidP="00895E9B">
      <w:pPr>
        <w:pStyle w:val="BodyText"/>
        <w:jc w:val="both"/>
        <w:rPr>
          <w:lang w:val="en-US"/>
        </w:rPr>
      </w:pPr>
    </w:p>
    <w:p w:rsidR="00895E9B" w:rsidRDefault="00895E9B" w:rsidP="00895E9B">
      <w:pPr>
        <w:pStyle w:val="BodyText"/>
        <w:jc w:val="both"/>
        <w:rPr>
          <w:lang w:val="en-US"/>
        </w:rPr>
      </w:pPr>
      <w:r>
        <w:rPr>
          <w:lang w:val="en-US"/>
        </w:rPr>
        <w:t>Personal data obtained from notifications, proxies and from the share register maintained by Euroclear Sweden AB will be used for the necessary registration and preparation of the voting list for the General Meeting.</w:t>
      </w:r>
    </w:p>
    <w:p w:rsidR="00895E9B" w:rsidRDefault="00895E9B" w:rsidP="00895E9B">
      <w:pPr>
        <w:pStyle w:val="BodyText"/>
        <w:jc w:val="both"/>
        <w:rPr>
          <w:lang w:val="en-US"/>
        </w:rPr>
      </w:pPr>
    </w:p>
    <w:p w:rsidR="00895E9B" w:rsidRDefault="00895E9B" w:rsidP="00895E9B">
      <w:pPr>
        <w:pStyle w:val="BodyText"/>
        <w:jc w:val="both"/>
        <w:rPr>
          <w:lang w:val="en-US"/>
        </w:rPr>
      </w:pPr>
      <w:r>
        <w:rPr>
          <w:lang w:val="en-US"/>
        </w:rPr>
        <w:t xml:space="preserve">The shareholders are reminded of their right to ask questions to the Board and the Managing Director at the General Meeting </w:t>
      </w:r>
      <w:r w:rsidRPr="00396EC6">
        <w:rPr>
          <w:lang w:val="en-US"/>
        </w:rPr>
        <w:t>in accordance with Chapter 7, Section 32 of the Swedish Companies Act.</w:t>
      </w:r>
    </w:p>
    <w:p w:rsidR="00895E9B" w:rsidRDefault="00895E9B" w:rsidP="00895E9B">
      <w:pPr>
        <w:pStyle w:val="BodyText"/>
        <w:jc w:val="both"/>
        <w:rPr>
          <w:lang w:val="en-US"/>
        </w:rPr>
      </w:pPr>
    </w:p>
    <w:p w:rsidR="00895E9B" w:rsidRDefault="00895E9B" w:rsidP="00895E9B">
      <w:pPr>
        <w:pStyle w:val="BodyText"/>
        <w:jc w:val="both"/>
        <w:rPr>
          <w:lang w:val="en-US"/>
        </w:rPr>
      </w:pPr>
      <w:r>
        <w:rPr>
          <w:lang w:val="en-US"/>
        </w:rPr>
        <w:t xml:space="preserve">There are in total </w:t>
      </w:r>
      <w:r>
        <w:rPr>
          <w:rFonts w:cstheme="minorHAnsi"/>
          <w:szCs w:val="20"/>
          <w:lang w:val="en-US"/>
        </w:rPr>
        <w:t xml:space="preserve">72,347,726 </w:t>
      </w:r>
      <w:r>
        <w:rPr>
          <w:lang w:val="en-US"/>
        </w:rPr>
        <w:t>shares and votes in the company at the time of the notice. At the day of adoption of the notice the company does not hold any</w:t>
      </w:r>
      <w:r>
        <w:rPr>
          <w:rFonts w:cstheme="minorHAnsi"/>
          <w:szCs w:val="20"/>
          <w:lang w:val="en-US"/>
        </w:rPr>
        <w:t xml:space="preserve"> </w:t>
      </w:r>
      <w:r>
        <w:rPr>
          <w:lang w:val="en-US"/>
        </w:rPr>
        <w:t>own share</w:t>
      </w:r>
      <w:r w:rsidRPr="001453AD">
        <w:rPr>
          <w:lang w:val="en-US"/>
        </w:rPr>
        <w:t>s.</w:t>
      </w:r>
    </w:p>
    <w:p w:rsidR="00895E9B" w:rsidRPr="001F443A" w:rsidRDefault="00895E9B" w:rsidP="00895E9B">
      <w:pPr>
        <w:pStyle w:val="Heading2"/>
        <w:jc w:val="both"/>
        <w:rPr>
          <w:rFonts w:cstheme="majorHAnsi"/>
          <w:szCs w:val="18"/>
          <w:lang w:val="en-US"/>
        </w:rPr>
      </w:pPr>
      <w:r w:rsidRPr="001F443A">
        <w:rPr>
          <w:rFonts w:cstheme="majorHAnsi"/>
          <w:szCs w:val="18"/>
          <w:lang w:val="en-US"/>
        </w:rPr>
        <w:lastRenderedPageBreak/>
        <w:t>Proposed Agenda</w:t>
      </w:r>
    </w:p>
    <w:p w:rsidR="00895E9B" w:rsidRPr="00750546" w:rsidRDefault="00895E9B" w:rsidP="00895E9B">
      <w:pPr>
        <w:pStyle w:val="BodyText"/>
        <w:jc w:val="both"/>
        <w:rPr>
          <w:lang w:val="en-US"/>
        </w:rPr>
      </w:pPr>
      <w:r>
        <w:rPr>
          <w:lang w:val="en-US"/>
        </w:rPr>
        <w:t>1</w:t>
      </w:r>
      <w:r w:rsidRPr="00750546">
        <w:rPr>
          <w:lang w:val="en-US"/>
        </w:rPr>
        <w:tab/>
        <w:t xml:space="preserve">Opening of the </w:t>
      </w:r>
      <w:r>
        <w:rPr>
          <w:lang w:val="en-US"/>
        </w:rPr>
        <w:t>M</w:t>
      </w:r>
      <w:r w:rsidRPr="00750546">
        <w:rPr>
          <w:lang w:val="en-US"/>
        </w:rPr>
        <w:t>eeting</w:t>
      </w:r>
    </w:p>
    <w:p w:rsidR="00895E9B" w:rsidRPr="00750546" w:rsidRDefault="00895E9B" w:rsidP="00895E9B">
      <w:pPr>
        <w:pStyle w:val="BodyText"/>
        <w:jc w:val="both"/>
        <w:rPr>
          <w:lang w:val="en-US"/>
        </w:rPr>
      </w:pPr>
      <w:r>
        <w:rPr>
          <w:lang w:val="en-US"/>
        </w:rPr>
        <w:t>2</w:t>
      </w:r>
      <w:r>
        <w:rPr>
          <w:lang w:val="en-US"/>
        </w:rPr>
        <w:tab/>
      </w:r>
      <w:r w:rsidRPr="00750546">
        <w:rPr>
          <w:lang w:val="en-US"/>
        </w:rPr>
        <w:t xml:space="preserve">Election of </w:t>
      </w:r>
      <w:r>
        <w:rPr>
          <w:lang w:val="en-US"/>
        </w:rPr>
        <w:t>C</w:t>
      </w:r>
      <w:r w:rsidRPr="00750546">
        <w:rPr>
          <w:lang w:val="en-US"/>
        </w:rPr>
        <w:t xml:space="preserve">hairman of the </w:t>
      </w:r>
      <w:r>
        <w:rPr>
          <w:lang w:val="en-US"/>
        </w:rPr>
        <w:t>M</w:t>
      </w:r>
      <w:r w:rsidRPr="00750546">
        <w:rPr>
          <w:lang w:val="en-US"/>
        </w:rPr>
        <w:t>eeting</w:t>
      </w:r>
    </w:p>
    <w:p w:rsidR="00895E9B" w:rsidRPr="00750546" w:rsidRDefault="00895E9B" w:rsidP="00895E9B">
      <w:pPr>
        <w:pStyle w:val="BodyText"/>
        <w:jc w:val="both"/>
        <w:rPr>
          <w:lang w:val="en-US"/>
        </w:rPr>
      </w:pPr>
      <w:r>
        <w:rPr>
          <w:lang w:val="en-US"/>
        </w:rPr>
        <w:t>3</w:t>
      </w:r>
      <w:r>
        <w:rPr>
          <w:lang w:val="en-US"/>
        </w:rPr>
        <w:tab/>
      </w:r>
      <w:r w:rsidRPr="00750546">
        <w:rPr>
          <w:lang w:val="en-US"/>
        </w:rPr>
        <w:t>Preparation and approval of the voting list</w:t>
      </w:r>
    </w:p>
    <w:p w:rsidR="00895E9B" w:rsidRPr="00750546" w:rsidRDefault="00895E9B" w:rsidP="00895E9B">
      <w:pPr>
        <w:pStyle w:val="BodyText"/>
        <w:jc w:val="both"/>
        <w:rPr>
          <w:lang w:val="en-US"/>
        </w:rPr>
      </w:pPr>
      <w:r>
        <w:rPr>
          <w:lang w:val="en-US"/>
        </w:rPr>
        <w:t>4</w:t>
      </w:r>
      <w:r>
        <w:rPr>
          <w:lang w:val="en-US"/>
        </w:rPr>
        <w:tab/>
      </w:r>
      <w:r w:rsidRPr="00750546">
        <w:rPr>
          <w:lang w:val="en-US"/>
        </w:rPr>
        <w:t>Approval of the agenda</w:t>
      </w:r>
    </w:p>
    <w:p w:rsidR="00895E9B" w:rsidRPr="00750546" w:rsidRDefault="00895E9B" w:rsidP="00895E9B">
      <w:pPr>
        <w:pStyle w:val="BodyText"/>
        <w:jc w:val="both"/>
        <w:rPr>
          <w:lang w:val="en-US"/>
        </w:rPr>
      </w:pPr>
      <w:r>
        <w:rPr>
          <w:lang w:val="en-US"/>
        </w:rPr>
        <w:t>5</w:t>
      </w:r>
      <w:r>
        <w:rPr>
          <w:lang w:val="en-US"/>
        </w:rPr>
        <w:tab/>
      </w:r>
      <w:r w:rsidRPr="00A86AAD">
        <w:rPr>
          <w:rFonts w:cstheme="minorHAnsi"/>
          <w:lang w:val="en-US"/>
        </w:rPr>
        <w:t xml:space="preserve">Election of persons to </w:t>
      </w:r>
      <w:r>
        <w:rPr>
          <w:rFonts w:cstheme="minorHAnsi"/>
          <w:lang w:val="en-US"/>
        </w:rPr>
        <w:t>attest the accuracy of</w:t>
      </w:r>
      <w:r w:rsidRPr="00A86AAD">
        <w:rPr>
          <w:rFonts w:cstheme="minorHAnsi"/>
          <w:lang w:val="en-US"/>
        </w:rPr>
        <w:t xml:space="preserve"> the minutes</w:t>
      </w:r>
      <w:r w:rsidRPr="00750546">
        <w:rPr>
          <w:lang w:val="en-US"/>
        </w:rPr>
        <w:t xml:space="preserve"> (and to count votes)</w:t>
      </w:r>
    </w:p>
    <w:p w:rsidR="00895E9B" w:rsidRPr="00750546" w:rsidRDefault="00895E9B" w:rsidP="00895E9B">
      <w:pPr>
        <w:pStyle w:val="BodyText"/>
        <w:jc w:val="both"/>
        <w:rPr>
          <w:lang w:val="en-US"/>
        </w:rPr>
      </w:pPr>
      <w:r>
        <w:rPr>
          <w:lang w:val="en-US"/>
        </w:rPr>
        <w:t>6</w:t>
      </w:r>
      <w:r>
        <w:rPr>
          <w:lang w:val="en-US"/>
        </w:rPr>
        <w:tab/>
      </w:r>
      <w:r w:rsidRPr="00750546">
        <w:rPr>
          <w:lang w:val="en-US"/>
        </w:rPr>
        <w:t>Determination o</w:t>
      </w:r>
      <w:r>
        <w:rPr>
          <w:lang w:val="en-US"/>
        </w:rPr>
        <w:t>f</w:t>
      </w:r>
      <w:r w:rsidRPr="00750546">
        <w:rPr>
          <w:lang w:val="en-US"/>
        </w:rPr>
        <w:t xml:space="preserve"> whether the </w:t>
      </w:r>
      <w:r>
        <w:rPr>
          <w:lang w:val="en-US"/>
        </w:rPr>
        <w:t>M</w:t>
      </w:r>
      <w:r w:rsidRPr="00750546">
        <w:rPr>
          <w:lang w:val="en-US"/>
        </w:rPr>
        <w:t>eeting has been duly convened</w:t>
      </w:r>
    </w:p>
    <w:p w:rsidR="00895E9B" w:rsidRPr="001C78E1" w:rsidRDefault="00895E9B" w:rsidP="00895E9B">
      <w:pPr>
        <w:pStyle w:val="BodyText"/>
        <w:ind w:left="567" w:hanging="567"/>
        <w:jc w:val="both"/>
        <w:rPr>
          <w:lang w:val="en-US"/>
        </w:rPr>
      </w:pPr>
      <w:r>
        <w:rPr>
          <w:lang w:val="en-US"/>
        </w:rPr>
        <w:t>7</w:t>
      </w:r>
      <w:r>
        <w:rPr>
          <w:lang w:val="en-US"/>
        </w:rPr>
        <w:tab/>
        <w:t xml:space="preserve">Proposal by the Board </w:t>
      </w:r>
      <w:r w:rsidRPr="001C78E1">
        <w:rPr>
          <w:lang w:val="en-US"/>
        </w:rPr>
        <w:t>to:</w:t>
      </w:r>
    </w:p>
    <w:p w:rsidR="00895E9B" w:rsidRDefault="00895E9B" w:rsidP="00895E9B">
      <w:pPr>
        <w:pStyle w:val="BodyText"/>
        <w:ind w:left="567"/>
        <w:jc w:val="both"/>
        <w:rPr>
          <w:lang w:val="en-US"/>
        </w:rPr>
      </w:pPr>
      <w:r>
        <w:rPr>
          <w:lang w:val="en-US"/>
        </w:rPr>
        <w:t>(i)</w:t>
      </w:r>
      <w:r>
        <w:rPr>
          <w:lang w:val="en-US"/>
        </w:rPr>
        <w:tab/>
      </w:r>
      <w:r w:rsidRPr="001C78E1">
        <w:rPr>
          <w:lang w:val="en-US"/>
        </w:rPr>
        <w:t>app</w:t>
      </w:r>
      <w:r>
        <w:rPr>
          <w:lang w:val="en-US"/>
        </w:rPr>
        <w:t xml:space="preserve">rove the combination with Lindorff; </w:t>
      </w:r>
      <w:r w:rsidRPr="001C78E1">
        <w:rPr>
          <w:lang w:val="en-US"/>
        </w:rPr>
        <w:t>and</w:t>
      </w:r>
    </w:p>
    <w:p w:rsidR="00895E9B" w:rsidRDefault="00895E9B" w:rsidP="00895E9B">
      <w:pPr>
        <w:pStyle w:val="BodyText"/>
        <w:ind w:left="1134" w:hanging="567"/>
        <w:jc w:val="both"/>
        <w:rPr>
          <w:lang w:val="en-US"/>
        </w:rPr>
      </w:pPr>
      <w:r>
        <w:rPr>
          <w:lang w:val="en-US"/>
        </w:rPr>
        <w:t>(ii)</w:t>
      </w:r>
      <w:r>
        <w:rPr>
          <w:lang w:val="en-US"/>
        </w:rPr>
        <w:tab/>
      </w:r>
      <w:r w:rsidRPr="001C78E1">
        <w:rPr>
          <w:lang w:val="en-US"/>
        </w:rPr>
        <w:t xml:space="preserve">authorize the Board to resolve on a new issue of shares to be issued as consideration in the acquisition of </w:t>
      </w:r>
      <w:r>
        <w:rPr>
          <w:lang w:val="en-US"/>
        </w:rPr>
        <w:t>Lindorff</w:t>
      </w:r>
    </w:p>
    <w:p w:rsidR="00895E9B" w:rsidRPr="00FB46EE" w:rsidRDefault="00895E9B" w:rsidP="00895E9B">
      <w:pPr>
        <w:pStyle w:val="BodyText"/>
        <w:jc w:val="both"/>
      </w:pPr>
      <w:r>
        <w:t>8</w:t>
      </w:r>
      <w:r w:rsidRPr="00D75062">
        <w:tab/>
        <w:t xml:space="preserve">Conclusion of the </w:t>
      </w:r>
      <w:r>
        <w:t>M</w:t>
      </w:r>
      <w:r w:rsidRPr="00D75062">
        <w:t>eeting</w:t>
      </w:r>
    </w:p>
    <w:p w:rsidR="00895E9B" w:rsidRDefault="00895E9B" w:rsidP="00895E9B">
      <w:pPr>
        <w:ind w:left="1304" w:hanging="1304"/>
        <w:jc w:val="both"/>
      </w:pPr>
    </w:p>
    <w:p w:rsidR="00895E9B" w:rsidRPr="00240AD6" w:rsidRDefault="00895E9B" w:rsidP="00895E9B">
      <w:pPr>
        <w:ind w:left="1304" w:hanging="1304"/>
        <w:jc w:val="both"/>
        <w:rPr>
          <w:b/>
        </w:rPr>
      </w:pPr>
      <w:r w:rsidRPr="00240AD6">
        <w:rPr>
          <w:b/>
        </w:rPr>
        <w:t>Item 7</w:t>
      </w:r>
      <w:r w:rsidRPr="00240AD6">
        <w:rPr>
          <w:b/>
        </w:rPr>
        <w:tab/>
        <w:t>The Board’s proposal to resolve to (i) app</w:t>
      </w:r>
      <w:r>
        <w:rPr>
          <w:b/>
        </w:rPr>
        <w:t>rove the combination with Lindorff,</w:t>
      </w:r>
      <w:r w:rsidRPr="00357AFD">
        <w:rPr>
          <w:b/>
        </w:rPr>
        <w:t xml:space="preserve"> </w:t>
      </w:r>
      <w:r w:rsidRPr="00240AD6">
        <w:rPr>
          <w:b/>
        </w:rPr>
        <w:t>and (i</w:t>
      </w:r>
      <w:r>
        <w:rPr>
          <w:b/>
        </w:rPr>
        <w:t>i</w:t>
      </w:r>
      <w:r w:rsidRPr="00240AD6">
        <w:rPr>
          <w:b/>
        </w:rPr>
        <w:t xml:space="preserve">) authorize the Board to resolve on a new issue of shares to be issued as consideration in the acquisition of </w:t>
      </w:r>
      <w:r>
        <w:rPr>
          <w:b/>
        </w:rPr>
        <w:t>Lindorff</w:t>
      </w:r>
    </w:p>
    <w:p w:rsidR="00895E9B" w:rsidRPr="00FB46EE" w:rsidRDefault="00895E9B" w:rsidP="00895E9B">
      <w:pPr>
        <w:jc w:val="both"/>
      </w:pPr>
    </w:p>
    <w:p w:rsidR="00895E9B" w:rsidRDefault="00895E9B" w:rsidP="00895E9B">
      <w:pPr>
        <w:ind w:left="1304"/>
        <w:jc w:val="both"/>
      </w:pPr>
      <w:bookmarkStart w:id="1" w:name="_DV_M45"/>
      <w:bookmarkEnd w:id="1"/>
      <w:r>
        <w:t xml:space="preserve">The resolutions under (i) and (ii) are contingent upon each other and are therefore proposed to be adopted as one single resolution. </w:t>
      </w:r>
    </w:p>
    <w:p w:rsidR="00895E9B" w:rsidRPr="00360ABF" w:rsidRDefault="00895E9B" w:rsidP="00895E9B">
      <w:pPr>
        <w:ind w:left="737" w:firstLine="567"/>
        <w:jc w:val="both"/>
      </w:pPr>
    </w:p>
    <w:p w:rsidR="00895E9B" w:rsidRPr="00240AD6" w:rsidRDefault="00895E9B" w:rsidP="00895E9B">
      <w:pPr>
        <w:ind w:left="737" w:firstLine="567"/>
        <w:jc w:val="both"/>
        <w:rPr>
          <w:b/>
        </w:rPr>
      </w:pPr>
      <w:r w:rsidRPr="00240AD6">
        <w:rPr>
          <w:b/>
        </w:rPr>
        <w:t xml:space="preserve">(i) Approval of the combination with </w:t>
      </w:r>
      <w:r>
        <w:rPr>
          <w:b/>
        </w:rPr>
        <w:t>Lindorff</w:t>
      </w:r>
    </w:p>
    <w:p w:rsidR="00895E9B" w:rsidRDefault="00895E9B" w:rsidP="00895E9B">
      <w:pPr>
        <w:jc w:val="both"/>
      </w:pPr>
    </w:p>
    <w:p w:rsidR="00895E9B" w:rsidRDefault="00895E9B" w:rsidP="00895E9B">
      <w:pPr>
        <w:ind w:left="1304"/>
        <w:jc w:val="both"/>
      </w:pPr>
      <w:r>
        <w:t xml:space="preserve">Lindorff is a leading full-service European credit management service provider, offering services within debt collection and debt purchase as well as payment and invoicing services. Lindorff has 4,400 employees in 13 countries with headquarters in Oslo, Norway. In 2015, Lindorff generated EUR 534 million in net revenue. </w:t>
      </w:r>
      <w:r w:rsidRPr="00B47DA0">
        <w:t xml:space="preserve">Lock TopCo AS </w:t>
      </w:r>
      <w:r>
        <w:t>(“Lindorff”) is owned by Cidron 1748 S.à r.l. (“Cidron”), an entity controlled by Nordic Capital</w:t>
      </w:r>
      <w:r w:rsidRPr="00472AB7">
        <w:t xml:space="preserve"> </w:t>
      </w:r>
      <w:r>
        <w:t>Fund VIII</w:t>
      </w:r>
      <w:r w:rsidRPr="00472AB7">
        <w:t xml:space="preserve"> and certain minority shareholders (</w:t>
      </w:r>
      <w:r>
        <w:t xml:space="preserve">jointly, </w:t>
      </w:r>
      <w:r w:rsidRPr="00472AB7">
        <w:t>the “</w:t>
      </w:r>
      <w:r>
        <w:t>Lindorff</w:t>
      </w:r>
      <w:r w:rsidRPr="00472AB7">
        <w:t xml:space="preserve"> Owners”).</w:t>
      </w:r>
      <w:r>
        <w:t xml:space="preserve"> </w:t>
      </w:r>
    </w:p>
    <w:p w:rsidR="00895E9B" w:rsidRDefault="00895E9B" w:rsidP="00895E9B">
      <w:pPr>
        <w:jc w:val="both"/>
      </w:pPr>
    </w:p>
    <w:p w:rsidR="00895E9B" w:rsidRDefault="00895E9B" w:rsidP="00895E9B">
      <w:pPr>
        <w:ind w:left="1304"/>
        <w:jc w:val="both"/>
      </w:pPr>
      <w:r>
        <w:t xml:space="preserve">The company has on 13 November 2016 entered into a combination agreement to combine Intrum Justitia and Lindorff. The combination is structured as </w:t>
      </w:r>
      <w:r>
        <w:rPr>
          <w:lang w:val="en-US"/>
        </w:rPr>
        <w:t>the company</w:t>
      </w:r>
      <w:r>
        <w:t xml:space="preserve"> acquiring all shares in Lindorff, the holding company of the Lindorff group. The consideration for the shares in Lindorff consists of newly issued shares in </w:t>
      </w:r>
      <w:r>
        <w:rPr>
          <w:lang w:val="en-US"/>
        </w:rPr>
        <w:t>the company</w:t>
      </w:r>
      <w:r>
        <w:t xml:space="preserve">. Following completion of the new issue, the Lindorff Owners will own Intrum Justitia shares corresponding to up to 47.02 percent of the outstanding shares in </w:t>
      </w:r>
      <w:r>
        <w:rPr>
          <w:lang w:val="en-US"/>
        </w:rPr>
        <w:t>the company</w:t>
      </w:r>
      <w:r>
        <w:t>. Based on the closing price of the Intrum Justitia share at Nasdaq Stockholm on 11 November 2016, the purchase price for all shares in Lindorff corresponds to SEK 17.9</w:t>
      </w:r>
      <w:r w:rsidRPr="00B77406">
        <w:t xml:space="preserve"> billion.</w:t>
      </w:r>
    </w:p>
    <w:p w:rsidR="00895E9B" w:rsidRDefault="00895E9B" w:rsidP="00895E9B">
      <w:pPr>
        <w:ind w:left="1304"/>
        <w:jc w:val="both"/>
      </w:pPr>
    </w:p>
    <w:p w:rsidR="00895E9B" w:rsidRDefault="00895E9B" w:rsidP="00895E9B">
      <w:pPr>
        <w:ind w:left="1304"/>
        <w:jc w:val="both"/>
      </w:pPr>
      <w:r>
        <w:t xml:space="preserve">The combination with Lindorff is, according to the combination agreement, conditional upon competition approval and approvals by relevant regulatory authorities. Furthermore, the combination is conditional upon </w:t>
      </w:r>
      <w:r w:rsidRPr="00240AD6">
        <w:rPr>
          <w:i/>
        </w:rPr>
        <w:t>i.a.</w:t>
      </w:r>
      <w:r>
        <w:t xml:space="preserve">, resolutions by the General Meeting to approve the combination and to authorize the Board to execute a new directed issue of shares to the Lindorff Owners in accordance with paragraph (ii) below. </w:t>
      </w:r>
    </w:p>
    <w:p w:rsidR="00895E9B" w:rsidRDefault="00895E9B" w:rsidP="00895E9B">
      <w:pPr>
        <w:ind w:left="1304"/>
        <w:jc w:val="both"/>
      </w:pPr>
    </w:p>
    <w:p w:rsidR="00895E9B" w:rsidRDefault="00895E9B" w:rsidP="00895E9B">
      <w:pPr>
        <w:ind w:left="1304"/>
        <w:jc w:val="both"/>
      </w:pPr>
      <w:r w:rsidRPr="00D20DBB">
        <w:t xml:space="preserve">The Board considers that the timing of the transaction between Intrum Justitia and Lindorff is favourable and that the strategic, industrial and financial rationale between the companies is compelling. A combination of Intrum Justitia and Lindorff would create an industry leader with unparalleled scale and diversification. The companies have a well-balanced business mix and integrated service offering across the value chain, benefitting from synergies between debt purchasing and debt collection. Further, Intrum Justitia and </w:t>
      </w:r>
      <w:r w:rsidRPr="00D20DBB">
        <w:lastRenderedPageBreak/>
        <w:t>Lindorff have a highly complementary geographic footprints, sector expertise and debt purchasing platforms. The Board therefore proposes that the General Meeting resolves to approve the Board’s resolution to combine Intrum Justitia and Lindorff on the terms and conditions described herein</w:t>
      </w:r>
      <w:r>
        <w:t>.</w:t>
      </w:r>
    </w:p>
    <w:p w:rsidR="00895E9B" w:rsidRDefault="00895E9B" w:rsidP="00895E9B">
      <w:pPr>
        <w:ind w:left="1304"/>
        <w:jc w:val="both"/>
      </w:pPr>
    </w:p>
    <w:p w:rsidR="00895E9B" w:rsidRDefault="00895E9B" w:rsidP="00895E9B">
      <w:pPr>
        <w:ind w:left="1304"/>
        <w:jc w:val="both"/>
      </w:pPr>
    </w:p>
    <w:p w:rsidR="00895E9B" w:rsidRPr="00240AD6" w:rsidRDefault="00895E9B" w:rsidP="00895E9B">
      <w:pPr>
        <w:ind w:left="1304"/>
        <w:jc w:val="both"/>
        <w:rPr>
          <w:b/>
        </w:rPr>
      </w:pPr>
      <w:r w:rsidRPr="00240AD6">
        <w:rPr>
          <w:b/>
        </w:rPr>
        <w:t xml:space="preserve">(ii) Authorization for the Board to execute a share issue as consideration in the acquisition of </w:t>
      </w:r>
      <w:r>
        <w:rPr>
          <w:b/>
        </w:rPr>
        <w:t>Lindorff</w:t>
      </w:r>
    </w:p>
    <w:p w:rsidR="00895E9B" w:rsidRDefault="00895E9B" w:rsidP="00895E9B">
      <w:pPr>
        <w:jc w:val="both"/>
      </w:pPr>
    </w:p>
    <w:p w:rsidR="00895E9B" w:rsidRDefault="00895E9B" w:rsidP="00895E9B">
      <w:pPr>
        <w:ind w:left="1304"/>
        <w:jc w:val="both"/>
      </w:pPr>
      <w:r>
        <w:t xml:space="preserve">The Board proposes that the Board shall be authorized, until the next Annual General Meeting, to resolve on a new issue of shares to be used as consideration in the acquisition of Lindorff (the “Directed Issue”). The number of new shares to be issued in the Directed Issue shall not exceed the number of shares equivalent to 47.02 percent of the outstanding shares in </w:t>
      </w:r>
      <w:r>
        <w:rPr>
          <w:lang w:val="en-US"/>
        </w:rPr>
        <w:t>the company</w:t>
      </w:r>
      <w:r>
        <w:t xml:space="preserve"> following the Directed Issue. </w:t>
      </w:r>
    </w:p>
    <w:p w:rsidR="00895E9B" w:rsidRDefault="00895E9B" w:rsidP="00895E9B">
      <w:pPr>
        <w:ind w:left="1304"/>
        <w:jc w:val="both"/>
      </w:pPr>
    </w:p>
    <w:p w:rsidR="00895E9B" w:rsidRDefault="00895E9B" w:rsidP="00895E9B">
      <w:pPr>
        <w:ind w:left="1304"/>
        <w:jc w:val="both"/>
      </w:pPr>
      <w:r>
        <w:t xml:space="preserve">The Lindorff Owners shall be solely entitled to subscribe for shares in the Directed Issue. The Lindorff Owners shall as payment for the shares (contribution in kind) contribute shares in Lindorff to </w:t>
      </w:r>
      <w:r>
        <w:rPr>
          <w:lang w:val="en-US"/>
        </w:rPr>
        <w:t>the company</w:t>
      </w:r>
      <w:r>
        <w:t xml:space="preserve">. </w:t>
      </w:r>
    </w:p>
    <w:p w:rsidR="00895E9B" w:rsidRDefault="00895E9B" w:rsidP="00895E9B">
      <w:pPr>
        <w:ind w:left="1304"/>
        <w:jc w:val="both"/>
      </w:pPr>
    </w:p>
    <w:p w:rsidR="00895E9B" w:rsidRDefault="00895E9B" w:rsidP="00895E9B">
      <w:pPr>
        <w:ind w:left="1304"/>
        <w:jc w:val="both"/>
      </w:pPr>
      <w:r>
        <w:t xml:space="preserve">Information about the subscription price will be announced after the Board has resolved on the Directed Issue. The contribution in kind, </w:t>
      </w:r>
      <w:r w:rsidRPr="004022C8">
        <w:rPr>
          <w:i/>
        </w:rPr>
        <w:t>i.e.</w:t>
      </w:r>
      <w:r>
        <w:t xml:space="preserve"> shares in Lindorff, will be accounted for in </w:t>
      </w:r>
      <w:r>
        <w:rPr>
          <w:lang w:val="en-US"/>
        </w:rPr>
        <w:t>the company</w:t>
      </w:r>
      <w:r>
        <w:t xml:space="preserve">’s balance sheet at an amount based on the price for the Intrum Justitia shares on Nasdaq Stockholm at the transaction date, </w:t>
      </w:r>
      <w:r w:rsidRPr="004022C8">
        <w:rPr>
          <w:i/>
        </w:rPr>
        <w:t>i.e.</w:t>
      </w:r>
      <w:r>
        <w:t xml:space="preserve"> the day </w:t>
      </w:r>
      <w:r>
        <w:rPr>
          <w:lang w:val="en-US"/>
        </w:rPr>
        <w:t>the company</w:t>
      </w:r>
      <w:r>
        <w:t xml:space="preserve"> has closed the acquisition of Lindorff. </w:t>
      </w:r>
      <w:r w:rsidRPr="001842C0">
        <w:t xml:space="preserve">The new shares </w:t>
      </w:r>
      <w:r>
        <w:t xml:space="preserve">will </w:t>
      </w:r>
      <w:r w:rsidRPr="001842C0">
        <w:t xml:space="preserve">entitle to dividend from and including the record date falling after the record date for the dividend resolved by the 2017 </w:t>
      </w:r>
      <w:r>
        <w:t>Annual General M</w:t>
      </w:r>
      <w:r w:rsidRPr="001842C0">
        <w:t>eeting</w:t>
      </w:r>
      <w:r>
        <w:t xml:space="preserve">. </w:t>
      </w:r>
    </w:p>
    <w:p w:rsidR="00895E9B" w:rsidRDefault="00895E9B" w:rsidP="00895E9B">
      <w:pPr>
        <w:jc w:val="both"/>
      </w:pPr>
    </w:p>
    <w:p w:rsidR="00895E9B" w:rsidRPr="00240AD6" w:rsidRDefault="00895E9B" w:rsidP="00895E9B">
      <w:pPr>
        <w:ind w:left="737" w:firstLine="567"/>
        <w:jc w:val="both"/>
        <w:rPr>
          <w:u w:val="single"/>
        </w:rPr>
      </w:pPr>
      <w:r w:rsidRPr="00240AD6">
        <w:rPr>
          <w:u w:val="single"/>
        </w:rPr>
        <w:t xml:space="preserve">Special majority requirements </w:t>
      </w:r>
    </w:p>
    <w:p w:rsidR="00895E9B" w:rsidRDefault="00895E9B" w:rsidP="00895E9B">
      <w:pPr>
        <w:ind w:left="567" w:firstLine="567"/>
        <w:jc w:val="both"/>
      </w:pPr>
    </w:p>
    <w:p w:rsidR="00895E9B" w:rsidRDefault="00895E9B" w:rsidP="00895E9B">
      <w:pPr>
        <w:ind w:left="1304"/>
        <w:jc w:val="both"/>
      </w:pPr>
      <w:r>
        <w:t xml:space="preserve">In accordance with the Board’s proposal and the terms of the combination agreement between Intrum Justitia and the Lindorff Owners, the General Meeting’s resolution under item 7 shall only be valid where supported by not less than two-thirds of both the votes cast and of the shares represented at the General Meeting.  </w:t>
      </w:r>
    </w:p>
    <w:p w:rsidR="00895E9B" w:rsidRDefault="00895E9B" w:rsidP="00895E9B">
      <w:pPr>
        <w:jc w:val="both"/>
      </w:pPr>
    </w:p>
    <w:p w:rsidR="00895E9B" w:rsidRPr="00240AD6" w:rsidRDefault="00895E9B" w:rsidP="00895E9B">
      <w:pPr>
        <w:keepNext/>
        <w:keepLines/>
        <w:ind w:left="737" w:firstLine="567"/>
        <w:jc w:val="both"/>
        <w:rPr>
          <w:u w:val="single"/>
        </w:rPr>
      </w:pPr>
      <w:r w:rsidRPr="00240AD6">
        <w:rPr>
          <w:u w:val="single"/>
        </w:rPr>
        <w:t>Conditions relating to the proposed resolution under item 7</w:t>
      </w:r>
    </w:p>
    <w:p w:rsidR="00895E9B" w:rsidRDefault="00895E9B" w:rsidP="00895E9B">
      <w:pPr>
        <w:keepNext/>
        <w:keepLines/>
        <w:ind w:left="1134"/>
        <w:jc w:val="both"/>
      </w:pPr>
    </w:p>
    <w:p w:rsidR="00895E9B" w:rsidRDefault="00895E9B" w:rsidP="00895E9B">
      <w:pPr>
        <w:keepNext/>
        <w:keepLines/>
        <w:ind w:left="1304"/>
        <w:jc w:val="both"/>
      </w:pPr>
      <w:r>
        <w:t xml:space="preserve">Completion of the combination with Lindorff is </w:t>
      </w:r>
      <w:r w:rsidRPr="00360ABF">
        <w:rPr>
          <w:i/>
        </w:rPr>
        <w:t>i.a.</w:t>
      </w:r>
      <w:r>
        <w:t xml:space="preserve"> conditional upon competition approval and approvals by relevant regulatory authorities having been obtained. </w:t>
      </w:r>
    </w:p>
    <w:p w:rsidR="00895E9B" w:rsidRDefault="00895E9B" w:rsidP="00895E9B">
      <w:pPr>
        <w:keepNext/>
        <w:keepLines/>
        <w:jc w:val="both"/>
      </w:pPr>
    </w:p>
    <w:p w:rsidR="00895E9B" w:rsidRPr="00240AD6" w:rsidRDefault="00895E9B" w:rsidP="00895E9B">
      <w:pPr>
        <w:keepNext/>
        <w:keepLines/>
        <w:ind w:left="737" w:firstLine="567"/>
        <w:jc w:val="both"/>
        <w:rPr>
          <w:u w:val="single"/>
        </w:rPr>
      </w:pPr>
      <w:r w:rsidRPr="00240AD6">
        <w:rPr>
          <w:u w:val="single"/>
        </w:rPr>
        <w:t>Exemption from mandatory bid obligation</w:t>
      </w:r>
    </w:p>
    <w:p w:rsidR="00895E9B" w:rsidRDefault="00895E9B" w:rsidP="00895E9B">
      <w:pPr>
        <w:keepNext/>
        <w:keepLines/>
        <w:ind w:left="1134"/>
        <w:jc w:val="both"/>
      </w:pPr>
    </w:p>
    <w:p w:rsidR="00895E9B" w:rsidRPr="00FB46EE" w:rsidRDefault="00895E9B" w:rsidP="00895E9B">
      <w:pPr>
        <w:keepNext/>
        <w:keepLines/>
        <w:ind w:left="1304"/>
        <w:jc w:val="both"/>
      </w:pPr>
      <w:r>
        <w:t>The transaction will trigger a mandatory bid obligation for Cidron under the Swedish Act on Public Takeovers on the stock market (Sw</w:t>
      </w:r>
      <w:r w:rsidRPr="00360ABF">
        <w:rPr>
          <w:i/>
        </w:rPr>
        <w:t>. lag 2006:451 om offentliga uppköpserbjudanden på aktiemarknaden</w:t>
      </w:r>
      <w:r>
        <w:t xml:space="preserve">). The Swedish Securities Council (Sw. </w:t>
      </w:r>
      <w:r w:rsidRPr="00360ABF">
        <w:rPr>
          <w:i/>
        </w:rPr>
        <w:t>Aktiemarknadsnämnden</w:t>
      </w:r>
      <w:r>
        <w:t xml:space="preserve">) has resolved to exempt </w:t>
      </w:r>
      <w:r w:rsidRPr="00920DED">
        <w:t>Cidron</w:t>
      </w:r>
      <w:r>
        <w:t xml:space="preserve"> from such mandatory bid obligation subject </w:t>
      </w:r>
      <w:r w:rsidRPr="00360ABF">
        <w:rPr>
          <w:i/>
        </w:rPr>
        <w:t>i.a.</w:t>
      </w:r>
      <w:r>
        <w:t xml:space="preserve"> to that the resolution to approve the transaction is supported by not less than two-thirds of both the votes cast and of the shares represented at the General Meeting.</w:t>
      </w:r>
    </w:p>
    <w:p w:rsidR="00895E9B" w:rsidRPr="00074C9F" w:rsidRDefault="00895E9B" w:rsidP="00895E9B">
      <w:pPr>
        <w:jc w:val="both"/>
      </w:pPr>
      <w:bookmarkStart w:id="2" w:name="_DV_M47"/>
      <w:bookmarkEnd w:id="2"/>
    </w:p>
    <w:p w:rsidR="00895E9B" w:rsidRPr="00074C9F" w:rsidRDefault="00895E9B" w:rsidP="00895E9B">
      <w:pPr>
        <w:pStyle w:val="BodyText"/>
        <w:jc w:val="center"/>
      </w:pPr>
      <w:r w:rsidRPr="00074C9F">
        <w:t>__________________</w:t>
      </w:r>
    </w:p>
    <w:p w:rsidR="00895E9B" w:rsidRPr="000A0A5D" w:rsidRDefault="00895E9B" w:rsidP="00895E9B">
      <w:pPr>
        <w:pStyle w:val="BodyText"/>
        <w:jc w:val="both"/>
        <w:rPr>
          <w:highlight w:val="red"/>
        </w:rPr>
      </w:pPr>
    </w:p>
    <w:p w:rsidR="00895E9B" w:rsidRPr="00074C9F" w:rsidRDefault="00895E9B" w:rsidP="00895E9B">
      <w:pPr>
        <w:jc w:val="both"/>
      </w:pPr>
      <w:r>
        <w:lastRenderedPageBreak/>
        <w:t>This notice, t</w:t>
      </w:r>
      <w:r w:rsidRPr="00074C9F">
        <w:t>he B</w:t>
      </w:r>
      <w:r>
        <w:t>oard’s complete proposal</w:t>
      </w:r>
      <w:r w:rsidRPr="00074C9F">
        <w:t xml:space="preserve"> </w:t>
      </w:r>
      <w:r>
        <w:t>regarding item</w:t>
      </w:r>
      <w:r w:rsidRPr="00074C9F">
        <w:t xml:space="preserve"> </w:t>
      </w:r>
      <w:r>
        <w:t xml:space="preserve">7 and information material regarding the combination of Intrum Justitia and Lindorff will, no later than 23 November 2016 be made </w:t>
      </w:r>
      <w:r w:rsidRPr="00074C9F">
        <w:t>available at the company at Hesselmans</w:t>
      </w:r>
      <w:r>
        <w:t>t</w:t>
      </w:r>
      <w:r w:rsidRPr="00074C9F">
        <w:t>org 14</w:t>
      </w:r>
      <w:r>
        <w:t xml:space="preserve"> in Nacka, Sweden and </w:t>
      </w:r>
      <w:r w:rsidRPr="00074C9F">
        <w:t xml:space="preserve">on the company’s website www.intrum.com, and will be sent to the shareholders who request this and who inform the company of their postal address. </w:t>
      </w:r>
    </w:p>
    <w:p w:rsidR="00895E9B" w:rsidRPr="00074C9F" w:rsidRDefault="00895E9B" w:rsidP="00895E9B"/>
    <w:p w:rsidR="00895E9B" w:rsidRPr="00074C9F" w:rsidRDefault="00895E9B" w:rsidP="00895E9B"/>
    <w:p w:rsidR="00895E9B" w:rsidRPr="00074C9F" w:rsidRDefault="00895E9B" w:rsidP="00895E9B">
      <w:pPr>
        <w:jc w:val="center"/>
      </w:pPr>
      <w:r w:rsidRPr="00074C9F">
        <w:rPr>
          <w:rFonts w:cstheme="minorHAnsi"/>
          <w:szCs w:val="20"/>
        </w:rPr>
        <w:t>_____________________</w:t>
      </w:r>
    </w:p>
    <w:p w:rsidR="00895E9B" w:rsidRPr="00074C9F" w:rsidRDefault="00895E9B" w:rsidP="00895E9B">
      <w:pPr>
        <w:jc w:val="center"/>
      </w:pPr>
    </w:p>
    <w:p w:rsidR="00895E9B" w:rsidRPr="00074C9F" w:rsidRDefault="00895E9B" w:rsidP="00895E9B">
      <w:pPr>
        <w:jc w:val="center"/>
      </w:pPr>
      <w:r w:rsidRPr="00074C9F">
        <w:t xml:space="preserve">Stockholm in </w:t>
      </w:r>
      <w:r>
        <w:t>November</w:t>
      </w:r>
      <w:r w:rsidRPr="00074C9F">
        <w:t xml:space="preserve"> 2016</w:t>
      </w:r>
    </w:p>
    <w:p w:rsidR="00895E9B" w:rsidRPr="00074C9F" w:rsidRDefault="00895E9B" w:rsidP="00895E9B">
      <w:pPr>
        <w:jc w:val="center"/>
      </w:pPr>
    </w:p>
    <w:p w:rsidR="00895E9B" w:rsidRPr="00FB46EE" w:rsidRDefault="00895E9B" w:rsidP="00895E9B">
      <w:pPr>
        <w:jc w:val="center"/>
      </w:pPr>
      <w:r w:rsidRPr="00074C9F">
        <w:rPr>
          <w:i/>
        </w:rPr>
        <w:t>The Board of Intrum Justitia AB (publ)</w:t>
      </w:r>
    </w:p>
    <w:p w:rsidR="00DD1F35" w:rsidRPr="00B63981" w:rsidRDefault="00DD1F35" w:rsidP="00B63981">
      <w:pPr>
        <w:pStyle w:val="Heading1"/>
        <w:rPr>
          <w:sz w:val="40"/>
          <w:szCs w:val="40"/>
          <w:lang w:val="en-US"/>
        </w:rPr>
      </w:pPr>
    </w:p>
    <w:p w:rsidR="000F0D34" w:rsidRPr="00FA568E" w:rsidRDefault="000F0D34" w:rsidP="000F0D34">
      <w:pPr>
        <w:pStyle w:val="BodyText"/>
      </w:pPr>
    </w:p>
    <w:p w:rsidR="000F0D34" w:rsidRPr="009C7641" w:rsidRDefault="000F0D34" w:rsidP="000F0D34">
      <w:pPr>
        <w:pStyle w:val="BodyText"/>
        <w:rPr>
          <w:rFonts w:ascii="Helvetica" w:hAnsi="Helvetica"/>
          <w:sz w:val="14"/>
        </w:rPr>
      </w:pPr>
    </w:p>
    <w:sectPr w:rsidR="000F0D34" w:rsidRPr="009C7641" w:rsidSect="00FA568E">
      <w:headerReference w:type="default" r:id="rId10"/>
      <w:footerReference w:type="default" r:id="rId11"/>
      <w:pgSz w:w="11906" w:h="16838" w:code="9"/>
      <w:pgMar w:top="2364" w:right="1701" w:bottom="1985" w:left="1701"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48" w:rsidRDefault="00735248" w:rsidP="00B41A71">
      <w:pPr>
        <w:spacing w:line="240" w:lineRule="auto"/>
      </w:pPr>
      <w:r>
        <w:separator/>
      </w:r>
    </w:p>
  </w:endnote>
  <w:endnote w:type="continuationSeparator" w:id="0">
    <w:p w:rsidR="00735248" w:rsidRDefault="00735248" w:rsidP="00B41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2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6"/>
      <w:gridCol w:w="2778"/>
      <w:gridCol w:w="5859"/>
    </w:tblGrid>
    <w:tr w:rsidR="00BA42F5" w:rsidRPr="00D133D3" w:rsidTr="00273143">
      <w:trPr>
        <w:trHeight w:val="113"/>
      </w:trPr>
      <w:tc>
        <w:tcPr>
          <w:tcW w:w="1286" w:type="dxa"/>
          <w:tcBorders>
            <w:bottom w:val="single" w:sz="8" w:space="0" w:color="7AB800" w:themeColor="accent1"/>
          </w:tcBorders>
          <w:tcMar>
            <w:left w:w="0" w:type="dxa"/>
            <w:right w:w="0" w:type="dxa"/>
          </w:tcMar>
        </w:tcPr>
        <w:p w:rsidR="00BA42F5" w:rsidRPr="00D133D3" w:rsidRDefault="00BA42F5" w:rsidP="00273143">
          <w:pPr>
            <w:pStyle w:val="Footer"/>
            <w:ind w:left="266"/>
            <w:rPr>
              <w:rFonts w:asciiTheme="majorHAnsi" w:hAnsiTheme="majorHAnsi"/>
              <w:sz w:val="16"/>
            </w:rPr>
          </w:pPr>
        </w:p>
      </w:tc>
      <w:tc>
        <w:tcPr>
          <w:tcW w:w="2778" w:type="dxa"/>
          <w:tcBorders>
            <w:bottom w:val="single" w:sz="8" w:space="0" w:color="7AB800" w:themeColor="accent1"/>
          </w:tcBorders>
        </w:tcPr>
        <w:p w:rsidR="00BA42F5" w:rsidRPr="00D133D3" w:rsidRDefault="00BA42F5">
          <w:pPr>
            <w:pStyle w:val="Footer"/>
            <w:rPr>
              <w:rFonts w:asciiTheme="majorHAnsi" w:hAnsiTheme="majorHAnsi"/>
              <w:sz w:val="16"/>
            </w:rPr>
          </w:pPr>
        </w:p>
      </w:tc>
      <w:tc>
        <w:tcPr>
          <w:tcW w:w="5859" w:type="dxa"/>
          <w:tcBorders>
            <w:bottom w:val="single" w:sz="8" w:space="0" w:color="7AB800" w:themeColor="accent1"/>
          </w:tcBorders>
        </w:tcPr>
        <w:p w:rsidR="00BA42F5" w:rsidRPr="00D133D3" w:rsidRDefault="00BA42F5">
          <w:pPr>
            <w:pStyle w:val="Footer"/>
            <w:rPr>
              <w:rFonts w:asciiTheme="majorHAnsi" w:hAnsiTheme="majorHAnsi"/>
              <w:sz w:val="16"/>
            </w:rPr>
          </w:pPr>
        </w:p>
      </w:tc>
    </w:tr>
    <w:tr w:rsidR="00BA42F5" w:rsidRPr="00D133D3" w:rsidTr="00273143">
      <w:trPr>
        <w:trHeight w:val="425"/>
      </w:trPr>
      <w:tc>
        <w:tcPr>
          <w:tcW w:w="1286" w:type="dxa"/>
          <w:tcBorders>
            <w:top w:val="single" w:sz="8" w:space="0" w:color="7AB800" w:themeColor="accent1"/>
          </w:tcBorders>
          <w:tcMar>
            <w:left w:w="0" w:type="dxa"/>
            <w:right w:w="0" w:type="dxa"/>
          </w:tcMar>
          <w:vAlign w:val="bottom"/>
        </w:tcPr>
        <w:p w:rsidR="00BA42F5" w:rsidRPr="00D133D3" w:rsidRDefault="00BA42F5" w:rsidP="00A60F41">
          <w:pPr>
            <w:pStyle w:val="Footer"/>
            <w:rPr>
              <w:rFonts w:asciiTheme="majorHAnsi" w:hAnsiTheme="majorHAnsi"/>
              <w:sz w:val="16"/>
            </w:rPr>
          </w:pPr>
        </w:p>
      </w:tc>
      <w:tc>
        <w:tcPr>
          <w:tcW w:w="2778" w:type="dxa"/>
          <w:tcBorders>
            <w:top w:val="single" w:sz="8" w:space="0" w:color="7AB800" w:themeColor="accent1"/>
          </w:tcBorders>
          <w:vAlign w:val="bottom"/>
        </w:tcPr>
        <w:p w:rsidR="00BA42F5" w:rsidRPr="00D133D3" w:rsidRDefault="00BA42F5" w:rsidP="00A60F41">
          <w:pPr>
            <w:pStyle w:val="Footer"/>
            <w:rPr>
              <w:rFonts w:asciiTheme="majorHAnsi" w:hAnsiTheme="majorHAnsi"/>
              <w:b/>
              <w:sz w:val="16"/>
            </w:rPr>
          </w:pPr>
        </w:p>
      </w:tc>
      <w:tc>
        <w:tcPr>
          <w:tcW w:w="5859" w:type="dxa"/>
          <w:tcBorders>
            <w:top w:val="single" w:sz="8" w:space="0" w:color="7AB800" w:themeColor="accent1"/>
          </w:tcBorders>
          <w:vAlign w:val="bottom"/>
        </w:tcPr>
        <w:p w:rsidR="00BA42F5" w:rsidRPr="00D133D3" w:rsidRDefault="00BA42F5" w:rsidP="00A60F41">
          <w:pPr>
            <w:pStyle w:val="Footer"/>
            <w:rPr>
              <w:rFonts w:asciiTheme="majorHAnsi" w:hAnsiTheme="majorHAnsi"/>
              <w:sz w:val="16"/>
            </w:rPr>
          </w:pPr>
        </w:p>
      </w:tc>
    </w:tr>
  </w:tbl>
  <w:p w:rsidR="00BA42F5" w:rsidRDefault="00BA42F5" w:rsidP="00650A12">
    <w:pPr>
      <w:pStyle w:val="Footer"/>
      <w:spacing w:line="26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48" w:rsidRDefault="00735248" w:rsidP="00B41A71">
      <w:pPr>
        <w:spacing w:line="240" w:lineRule="auto"/>
      </w:pPr>
      <w:r>
        <w:separator/>
      </w:r>
    </w:p>
  </w:footnote>
  <w:footnote w:type="continuationSeparator" w:id="0">
    <w:p w:rsidR="00735248" w:rsidRDefault="00735248" w:rsidP="00B41A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F5" w:rsidRPr="00B41A71" w:rsidRDefault="00BA42F5" w:rsidP="00D7786D">
    <w:pPr>
      <w:pStyle w:val="Header"/>
      <w:tabs>
        <w:tab w:val="clear" w:pos="9072"/>
        <w:tab w:val="right" w:pos="8721"/>
      </w:tabs>
      <w:spacing w:before="120"/>
      <w:ind w:right="-1379"/>
      <w:jc w:val="right"/>
    </w:pPr>
    <w:r w:rsidRPr="00DF3AE7">
      <w:rPr>
        <w:lang w:val="sv-SE" w:eastAsia="sv-SE"/>
      </w:rPr>
      <w:drawing>
        <wp:anchor distT="0" distB="0" distL="114300" distR="114300" simplePos="0" relativeHeight="251659264" behindDoc="0" locked="0" layoutInCell="1" allowOverlap="0" wp14:anchorId="4A0577BD" wp14:editId="4ECF5BCF">
          <wp:simplePos x="0" y="0"/>
          <wp:positionH relativeFrom="page">
            <wp:posOffset>581025</wp:posOffset>
          </wp:positionH>
          <wp:positionV relativeFrom="page">
            <wp:posOffset>513584</wp:posOffset>
          </wp:positionV>
          <wp:extent cx="2154806" cy="429258"/>
          <wp:effectExtent l="0" t="0" r="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um logo 60 mm CMYK 3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4806" cy="429258"/>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6E0AA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B4A2387C"/>
    <w:lvl w:ilvl="0">
      <w:start w:val="1"/>
      <w:numFmt w:val="bullet"/>
      <w:lvlText w:val=""/>
      <w:lvlJc w:val="left"/>
      <w:pPr>
        <w:ind w:left="360" w:hanging="360"/>
      </w:pPr>
      <w:rPr>
        <w:rFonts w:ascii="Symbol" w:hAnsi="Symbol" w:hint="default"/>
        <w:color w:val="7AB51D"/>
      </w:rPr>
    </w:lvl>
  </w:abstractNum>
  <w:abstractNum w:abstractNumId="2">
    <w:nsid w:val="075C0C7E"/>
    <w:multiLevelType w:val="hybridMultilevel"/>
    <w:tmpl w:val="E4F89696"/>
    <w:lvl w:ilvl="0" w:tplc="0D107FBC">
      <w:start w:val="1"/>
      <w:numFmt w:val="bullet"/>
      <w:pStyle w:val="TOC5"/>
      <w:lvlText w:val=""/>
      <w:lvlJc w:val="left"/>
      <w:pPr>
        <w:ind w:left="1085" w:hanging="360"/>
      </w:pPr>
      <w:rPr>
        <w:rFonts w:ascii="Symbol" w:hAnsi="Symbol" w:hint="default"/>
        <w:color w:val="7AB800" w:themeColor="accent1"/>
      </w:rPr>
    </w:lvl>
    <w:lvl w:ilvl="1" w:tplc="041D0003" w:tentative="1">
      <w:start w:val="1"/>
      <w:numFmt w:val="bullet"/>
      <w:lvlText w:val="o"/>
      <w:lvlJc w:val="left"/>
      <w:pPr>
        <w:ind w:left="2240" w:hanging="360"/>
      </w:pPr>
      <w:rPr>
        <w:rFonts w:ascii="Courier New" w:hAnsi="Courier New" w:cs="Courier New" w:hint="default"/>
      </w:rPr>
    </w:lvl>
    <w:lvl w:ilvl="2" w:tplc="041D0005" w:tentative="1">
      <w:start w:val="1"/>
      <w:numFmt w:val="bullet"/>
      <w:lvlText w:val=""/>
      <w:lvlJc w:val="left"/>
      <w:pPr>
        <w:ind w:left="2960" w:hanging="360"/>
      </w:pPr>
      <w:rPr>
        <w:rFonts w:ascii="Wingdings" w:hAnsi="Wingdings" w:hint="default"/>
      </w:rPr>
    </w:lvl>
    <w:lvl w:ilvl="3" w:tplc="041D0001" w:tentative="1">
      <w:start w:val="1"/>
      <w:numFmt w:val="bullet"/>
      <w:lvlText w:val=""/>
      <w:lvlJc w:val="left"/>
      <w:pPr>
        <w:ind w:left="3680" w:hanging="360"/>
      </w:pPr>
      <w:rPr>
        <w:rFonts w:ascii="Symbol" w:hAnsi="Symbol" w:hint="default"/>
      </w:rPr>
    </w:lvl>
    <w:lvl w:ilvl="4" w:tplc="041D0003" w:tentative="1">
      <w:start w:val="1"/>
      <w:numFmt w:val="bullet"/>
      <w:lvlText w:val="o"/>
      <w:lvlJc w:val="left"/>
      <w:pPr>
        <w:ind w:left="4400" w:hanging="360"/>
      </w:pPr>
      <w:rPr>
        <w:rFonts w:ascii="Courier New" w:hAnsi="Courier New" w:cs="Courier New" w:hint="default"/>
      </w:rPr>
    </w:lvl>
    <w:lvl w:ilvl="5" w:tplc="041D0005" w:tentative="1">
      <w:start w:val="1"/>
      <w:numFmt w:val="bullet"/>
      <w:lvlText w:val=""/>
      <w:lvlJc w:val="left"/>
      <w:pPr>
        <w:ind w:left="5120" w:hanging="360"/>
      </w:pPr>
      <w:rPr>
        <w:rFonts w:ascii="Wingdings" w:hAnsi="Wingdings" w:hint="default"/>
      </w:rPr>
    </w:lvl>
    <w:lvl w:ilvl="6" w:tplc="041D0001" w:tentative="1">
      <w:start w:val="1"/>
      <w:numFmt w:val="bullet"/>
      <w:lvlText w:val=""/>
      <w:lvlJc w:val="left"/>
      <w:pPr>
        <w:ind w:left="5840" w:hanging="360"/>
      </w:pPr>
      <w:rPr>
        <w:rFonts w:ascii="Symbol" w:hAnsi="Symbol" w:hint="default"/>
      </w:rPr>
    </w:lvl>
    <w:lvl w:ilvl="7" w:tplc="041D0003" w:tentative="1">
      <w:start w:val="1"/>
      <w:numFmt w:val="bullet"/>
      <w:lvlText w:val="o"/>
      <w:lvlJc w:val="left"/>
      <w:pPr>
        <w:ind w:left="6560" w:hanging="360"/>
      </w:pPr>
      <w:rPr>
        <w:rFonts w:ascii="Courier New" w:hAnsi="Courier New" w:cs="Courier New" w:hint="default"/>
      </w:rPr>
    </w:lvl>
    <w:lvl w:ilvl="8" w:tplc="041D0005" w:tentative="1">
      <w:start w:val="1"/>
      <w:numFmt w:val="bullet"/>
      <w:lvlText w:val=""/>
      <w:lvlJc w:val="left"/>
      <w:pPr>
        <w:ind w:left="7280" w:hanging="360"/>
      </w:pPr>
      <w:rPr>
        <w:rFonts w:ascii="Wingdings" w:hAnsi="Wingdings" w:hint="default"/>
      </w:rPr>
    </w:lvl>
  </w:abstractNum>
  <w:abstractNum w:abstractNumId="3">
    <w:nsid w:val="399A1AB9"/>
    <w:multiLevelType w:val="multilevel"/>
    <w:tmpl w:val="EBFA6D6E"/>
    <w:lvl w:ilvl="0">
      <w:start w:val="1"/>
      <w:numFmt w:val="bullet"/>
      <w:pStyle w:val="ListBullet"/>
      <w:lvlText w:val=""/>
      <w:lvlJc w:val="left"/>
      <w:pPr>
        <w:ind w:left="360" w:hanging="360"/>
      </w:pPr>
      <w:rPr>
        <w:rFonts w:ascii="Symbol" w:hAnsi="Symbol" w:hint="default"/>
        <w:color w:val="7AB51D"/>
      </w:rPr>
    </w:lvl>
    <w:lvl w:ilvl="1">
      <w:start w:val="1"/>
      <w:numFmt w:val="bullet"/>
      <w:pStyle w:val="ListBullet2"/>
      <w:lvlText w:val=""/>
      <w:lvlJc w:val="left"/>
      <w:pPr>
        <w:ind w:left="720" w:hanging="360"/>
      </w:pPr>
      <w:rPr>
        <w:rFonts w:ascii="Symbol" w:hAnsi="Symbol" w:hint="default"/>
        <w:color w:val="7AB51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BFB569C"/>
    <w:multiLevelType w:val="hybridMultilevel"/>
    <w:tmpl w:val="8EB2C204"/>
    <w:lvl w:ilvl="0" w:tplc="7C8C93A4">
      <w:start w:val="1"/>
      <w:numFmt w:val="bullet"/>
      <w:pStyle w:val="TOC6"/>
      <w:lvlText w:val=""/>
      <w:lvlJc w:val="left"/>
      <w:pPr>
        <w:ind w:left="1778" w:hanging="360"/>
      </w:pPr>
      <w:rPr>
        <w:rFonts w:ascii="Symbol" w:hAnsi="Symbol" w:hint="default"/>
        <w:color w:val="7AB800" w:themeColor="accent1"/>
      </w:rPr>
    </w:lvl>
    <w:lvl w:ilvl="1" w:tplc="041D0003" w:tentative="1">
      <w:start w:val="1"/>
      <w:numFmt w:val="bullet"/>
      <w:lvlText w:val="o"/>
      <w:lvlJc w:val="left"/>
      <w:pPr>
        <w:ind w:left="2440" w:hanging="360"/>
      </w:pPr>
      <w:rPr>
        <w:rFonts w:ascii="Courier New" w:hAnsi="Courier New" w:cs="Courier New" w:hint="default"/>
      </w:rPr>
    </w:lvl>
    <w:lvl w:ilvl="2" w:tplc="041D0005" w:tentative="1">
      <w:start w:val="1"/>
      <w:numFmt w:val="bullet"/>
      <w:lvlText w:val=""/>
      <w:lvlJc w:val="left"/>
      <w:pPr>
        <w:ind w:left="3160" w:hanging="360"/>
      </w:pPr>
      <w:rPr>
        <w:rFonts w:ascii="Wingdings" w:hAnsi="Wingdings" w:hint="default"/>
      </w:rPr>
    </w:lvl>
    <w:lvl w:ilvl="3" w:tplc="041D0001" w:tentative="1">
      <w:start w:val="1"/>
      <w:numFmt w:val="bullet"/>
      <w:lvlText w:val=""/>
      <w:lvlJc w:val="left"/>
      <w:pPr>
        <w:ind w:left="3880" w:hanging="360"/>
      </w:pPr>
      <w:rPr>
        <w:rFonts w:ascii="Symbol" w:hAnsi="Symbol" w:hint="default"/>
      </w:rPr>
    </w:lvl>
    <w:lvl w:ilvl="4" w:tplc="041D0003" w:tentative="1">
      <w:start w:val="1"/>
      <w:numFmt w:val="bullet"/>
      <w:lvlText w:val="o"/>
      <w:lvlJc w:val="left"/>
      <w:pPr>
        <w:ind w:left="4600" w:hanging="360"/>
      </w:pPr>
      <w:rPr>
        <w:rFonts w:ascii="Courier New" w:hAnsi="Courier New" w:cs="Courier New" w:hint="default"/>
      </w:rPr>
    </w:lvl>
    <w:lvl w:ilvl="5" w:tplc="041D0005" w:tentative="1">
      <w:start w:val="1"/>
      <w:numFmt w:val="bullet"/>
      <w:lvlText w:val=""/>
      <w:lvlJc w:val="left"/>
      <w:pPr>
        <w:ind w:left="5320" w:hanging="360"/>
      </w:pPr>
      <w:rPr>
        <w:rFonts w:ascii="Wingdings" w:hAnsi="Wingdings" w:hint="default"/>
      </w:rPr>
    </w:lvl>
    <w:lvl w:ilvl="6" w:tplc="041D0001" w:tentative="1">
      <w:start w:val="1"/>
      <w:numFmt w:val="bullet"/>
      <w:lvlText w:val=""/>
      <w:lvlJc w:val="left"/>
      <w:pPr>
        <w:ind w:left="6040" w:hanging="360"/>
      </w:pPr>
      <w:rPr>
        <w:rFonts w:ascii="Symbol" w:hAnsi="Symbol" w:hint="default"/>
      </w:rPr>
    </w:lvl>
    <w:lvl w:ilvl="7" w:tplc="041D0003" w:tentative="1">
      <w:start w:val="1"/>
      <w:numFmt w:val="bullet"/>
      <w:lvlText w:val="o"/>
      <w:lvlJc w:val="left"/>
      <w:pPr>
        <w:ind w:left="6760" w:hanging="360"/>
      </w:pPr>
      <w:rPr>
        <w:rFonts w:ascii="Courier New" w:hAnsi="Courier New" w:cs="Courier New" w:hint="default"/>
      </w:rPr>
    </w:lvl>
    <w:lvl w:ilvl="8" w:tplc="041D0005" w:tentative="1">
      <w:start w:val="1"/>
      <w:numFmt w:val="bullet"/>
      <w:lvlText w:val=""/>
      <w:lvlJc w:val="left"/>
      <w:pPr>
        <w:ind w:left="7480" w:hanging="360"/>
      </w:pPr>
      <w:rPr>
        <w:rFonts w:ascii="Wingdings" w:hAnsi="Wingdings" w:hint="default"/>
      </w:rPr>
    </w:lvl>
  </w:abstractNum>
  <w:abstractNum w:abstractNumId="5">
    <w:nsid w:val="56537139"/>
    <w:multiLevelType w:val="hybridMultilevel"/>
    <w:tmpl w:val="95649D30"/>
    <w:lvl w:ilvl="0" w:tplc="975C43A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D24BC2"/>
    <w:multiLevelType w:val="multilevel"/>
    <w:tmpl w:val="9A56462A"/>
    <w:lvl w:ilvl="0">
      <w:start w:val="1"/>
      <w:numFmt w:val="decimal"/>
      <w:pStyle w:val="Heading1withnumbering"/>
      <w:lvlText w:val="%1."/>
      <w:lvlJc w:val="left"/>
      <w:pPr>
        <w:ind w:left="360" w:hanging="360"/>
      </w:pPr>
      <w:rPr>
        <w:rFonts w:hint="default"/>
      </w:rPr>
    </w:lvl>
    <w:lvl w:ilvl="1">
      <w:start w:val="1"/>
      <w:numFmt w:val="decimal"/>
      <w:pStyle w:val="Heading2withnumbering"/>
      <w:lvlText w:val="%1.%2"/>
      <w:lvlJc w:val="left"/>
      <w:pPr>
        <w:ind w:left="720" w:hanging="360"/>
      </w:pPr>
      <w:rPr>
        <w:rFonts w:hint="default"/>
      </w:rPr>
    </w:lvl>
    <w:lvl w:ilvl="2">
      <w:start w:val="1"/>
      <w:numFmt w:val="decimal"/>
      <w:pStyle w:val="Heading3withnumbering"/>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1"/>
    </w:lvlOverride>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D8"/>
    <w:rsid w:val="00016576"/>
    <w:rsid w:val="00016B96"/>
    <w:rsid w:val="00042913"/>
    <w:rsid w:val="00084944"/>
    <w:rsid w:val="000857C0"/>
    <w:rsid w:val="00085F68"/>
    <w:rsid w:val="000A1F8B"/>
    <w:rsid w:val="000C3402"/>
    <w:rsid w:val="000F0D34"/>
    <w:rsid w:val="000F7257"/>
    <w:rsid w:val="0011653F"/>
    <w:rsid w:val="00117B75"/>
    <w:rsid w:val="00130F06"/>
    <w:rsid w:val="00155412"/>
    <w:rsid w:val="00157DC4"/>
    <w:rsid w:val="00161985"/>
    <w:rsid w:val="001773E3"/>
    <w:rsid w:val="00187DA5"/>
    <w:rsid w:val="00191AA1"/>
    <w:rsid w:val="001C2085"/>
    <w:rsid w:val="001C6FAC"/>
    <w:rsid w:val="002151FC"/>
    <w:rsid w:val="0023123D"/>
    <w:rsid w:val="00256B4F"/>
    <w:rsid w:val="00273143"/>
    <w:rsid w:val="0028657D"/>
    <w:rsid w:val="00296498"/>
    <w:rsid w:val="002A7C6D"/>
    <w:rsid w:val="002C68C2"/>
    <w:rsid w:val="002E55A3"/>
    <w:rsid w:val="002E69C3"/>
    <w:rsid w:val="00321BC9"/>
    <w:rsid w:val="00354553"/>
    <w:rsid w:val="00385E11"/>
    <w:rsid w:val="003B5B68"/>
    <w:rsid w:val="003B701A"/>
    <w:rsid w:val="003C683D"/>
    <w:rsid w:val="004038ED"/>
    <w:rsid w:val="004209F7"/>
    <w:rsid w:val="00423A97"/>
    <w:rsid w:val="0044331B"/>
    <w:rsid w:val="004753C8"/>
    <w:rsid w:val="004A5AC8"/>
    <w:rsid w:val="004D43B6"/>
    <w:rsid w:val="004D51DB"/>
    <w:rsid w:val="0050600C"/>
    <w:rsid w:val="00544797"/>
    <w:rsid w:val="00550F05"/>
    <w:rsid w:val="00560E24"/>
    <w:rsid w:val="005A1F35"/>
    <w:rsid w:val="005B796E"/>
    <w:rsid w:val="005C6464"/>
    <w:rsid w:val="005C7795"/>
    <w:rsid w:val="005F002D"/>
    <w:rsid w:val="00627B6B"/>
    <w:rsid w:val="00634666"/>
    <w:rsid w:val="00636C2D"/>
    <w:rsid w:val="00650A12"/>
    <w:rsid w:val="00650BEB"/>
    <w:rsid w:val="00651C27"/>
    <w:rsid w:val="006553F9"/>
    <w:rsid w:val="00655872"/>
    <w:rsid w:val="0066388D"/>
    <w:rsid w:val="006639DA"/>
    <w:rsid w:val="00673EA6"/>
    <w:rsid w:val="007135DC"/>
    <w:rsid w:val="00735248"/>
    <w:rsid w:val="007421FC"/>
    <w:rsid w:val="00750D98"/>
    <w:rsid w:val="007528CC"/>
    <w:rsid w:val="00753AAE"/>
    <w:rsid w:val="007D11B3"/>
    <w:rsid w:val="007D2601"/>
    <w:rsid w:val="008000C0"/>
    <w:rsid w:val="00803060"/>
    <w:rsid w:val="00804797"/>
    <w:rsid w:val="0082109B"/>
    <w:rsid w:val="00833235"/>
    <w:rsid w:val="00874F9D"/>
    <w:rsid w:val="00882126"/>
    <w:rsid w:val="00895E9B"/>
    <w:rsid w:val="008C53E1"/>
    <w:rsid w:val="008C6D61"/>
    <w:rsid w:val="008D7700"/>
    <w:rsid w:val="00942969"/>
    <w:rsid w:val="00980BE7"/>
    <w:rsid w:val="00983D43"/>
    <w:rsid w:val="009A54C7"/>
    <w:rsid w:val="009B0E41"/>
    <w:rsid w:val="009B6D17"/>
    <w:rsid w:val="009C7641"/>
    <w:rsid w:val="009E451E"/>
    <w:rsid w:val="00A0736A"/>
    <w:rsid w:val="00A24E16"/>
    <w:rsid w:val="00A31017"/>
    <w:rsid w:val="00A41577"/>
    <w:rsid w:val="00A538A5"/>
    <w:rsid w:val="00A60F41"/>
    <w:rsid w:val="00A623D9"/>
    <w:rsid w:val="00A8086C"/>
    <w:rsid w:val="00A85939"/>
    <w:rsid w:val="00AA35C5"/>
    <w:rsid w:val="00AB6380"/>
    <w:rsid w:val="00AE7BFE"/>
    <w:rsid w:val="00AF58BF"/>
    <w:rsid w:val="00AF712A"/>
    <w:rsid w:val="00B017A1"/>
    <w:rsid w:val="00B04342"/>
    <w:rsid w:val="00B05D19"/>
    <w:rsid w:val="00B06551"/>
    <w:rsid w:val="00B323B9"/>
    <w:rsid w:val="00B41A71"/>
    <w:rsid w:val="00B63091"/>
    <w:rsid w:val="00B63981"/>
    <w:rsid w:val="00B971D8"/>
    <w:rsid w:val="00BA42F5"/>
    <w:rsid w:val="00BF25E3"/>
    <w:rsid w:val="00BF78B1"/>
    <w:rsid w:val="00C14581"/>
    <w:rsid w:val="00C34618"/>
    <w:rsid w:val="00C3553C"/>
    <w:rsid w:val="00C3630A"/>
    <w:rsid w:val="00C372C5"/>
    <w:rsid w:val="00C858DA"/>
    <w:rsid w:val="00CA7BCD"/>
    <w:rsid w:val="00CE4398"/>
    <w:rsid w:val="00CE5DDD"/>
    <w:rsid w:val="00CF0A56"/>
    <w:rsid w:val="00CF7680"/>
    <w:rsid w:val="00D133D3"/>
    <w:rsid w:val="00D1658C"/>
    <w:rsid w:val="00D33DFF"/>
    <w:rsid w:val="00D36298"/>
    <w:rsid w:val="00D7786D"/>
    <w:rsid w:val="00D83E86"/>
    <w:rsid w:val="00DA1B83"/>
    <w:rsid w:val="00DB7351"/>
    <w:rsid w:val="00DC4E22"/>
    <w:rsid w:val="00DD1F35"/>
    <w:rsid w:val="00DE116E"/>
    <w:rsid w:val="00DE1976"/>
    <w:rsid w:val="00DE2623"/>
    <w:rsid w:val="00DF31B0"/>
    <w:rsid w:val="00DF3AE7"/>
    <w:rsid w:val="00DF4594"/>
    <w:rsid w:val="00E110D7"/>
    <w:rsid w:val="00E1283F"/>
    <w:rsid w:val="00E93811"/>
    <w:rsid w:val="00EB15F7"/>
    <w:rsid w:val="00EE7EF6"/>
    <w:rsid w:val="00F03CE9"/>
    <w:rsid w:val="00F176F7"/>
    <w:rsid w:val="00F747DD"/>
    <w:rsid w:val="00F80D49"/>
    <w:rsid w:val="00F81F4E"/>
    <w:rsid w:val="00F912B2"/>
    <w:rsid w:val="00FA568E"/>
    <w:rsid w:val="00FB0688"/>
    <w:rsid w:val="00FB3062"/>
    <w:rsid w:val="00FD0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uiPriority="9"/>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semiHidden="0" w:uiPriority="39"/>
    <w:lsdException w:name="toc 6" w:semiHidden="0" w:uiPriority="39"/>
    <w:lsdException w:name="toc 7" w:uiPriority="39"/>
    <w:lsdException w:name="toc 8" w:uiPriority="39"/>
    <w:lsdException w:name="toc 9" w:uiPriority="39"/>
    <w:lsdException w:name="caption" w:uiPriority="35" w:qFormat="1"/>
    <w:lsdException w:name="List Bullet" w:semiHidden="0" w:qFormat="1"/>
    <w:lsdException w:name="List Bullet 2" w:qFormat="1"/>
    <w:lsdException w:name="Title" w:uiPriority="10" w:qFormat="1"/>
    <w:lsdException w:name="Default Paragraph Font" w:uiPriority="1" w:unhideWhenUsed="1"/>
    <w:lsdException w:name="Body Text" w:semiHidden="0" w:qFormat="1"/>
    <w:lsdException w:name="Subtitle" w:uiPriority="11" w:qFormat="1"/>
    <w:lsdException w:name="Body Text First Indent" w:semiHidden="0" w:qFormat="1"/>
    <w:lsdException w:name="Body Text 2" w:semiHidden="0"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0F0D34"/>
    <w:pPr>
      <w:spacing w:after="0" w:line="240" w:lineRule="atLeast"/>
    </w:pPr>
    <w:rPr>
      <w:noProof/>
      <w:sz w:val="20"/>
      <w:lang w:val="en-GB"/>
    </w:rPr>
  </w:style>
  <w:style w:type="paragraph" w:styleId="Heading1">
    <w:name w:val="heading 1"/>
    <w:basedOn w:val="Normal"/>
    <w:next w:val="Normal"/>
    <w:link w:val="Heading1Char"/>
    <w:uiPriority w:val="9"/>
    <w:qFormat/>
    <w:rsid w:val="000F7257"/>
    <w:pPr>
      <w:keepNext/>
      <w:keepLines/>
      <w:spacing w:before="240" w:after="240" w:line="260" w:lineRule="atLeast"/>
      <w:outlineLvl w:val="0"/>
    </w:pPr>
    <w:rPr>
      <w:rFonts w:asciiTheme="majorHAnsi" w:eastAsiaTheme="majorEastAsia" w:hAnsiTheme="majorHAnsi" w:cstheme="majorBidi"/>
      <w:b/>
      <w:bCs/>
      <w:color w:val="000000" w:themeColor="text1"/>
      <w:sz w:val="22"/>
      <w:szCs w:val="28"/>
    </w:rPr>
  </w:style>
  <w:style w:type="paragraph" w:styleId="Heading2">
    <w:name w:val="heading 2"/>
    <w:basedOn w:val="Normal"/>
    <w:next w:val="Normal"/>
    <w:link w:val="Heading2Char"/>
    <w:uiPriority w:val="9"/>
    <w:qFormat/>
    <w:rsid w:val="000F7257"/>
    <w:pPr>
      <w:keepNext/>
      <w:keepLines/>
      <w:spacing w:before="200" w:after="200"/>
      <w:outlineLvl w:val="1"/>
    </w:pPr>
    <w:rPr>
      <w:rFonts w:asciiTheme="majorHAnsi" w:eastAsiaTheme="majorEastAsia" w:hAnsiTheme="majorHAnsi" w:cstheme="majorBidi"/>
      <w:b/>
      <w:bCs/>
      <w:color w:val="000000" w:themeColor="text1"/>
      <w:sz w:val="18"/>
      <w:szCs w:val="26"/>
    </w:rPr>
  </w:style>
  <w:style w:type="paragraph" w:styleId="Heading3">
    <w:name w:val="heading 3"/>
    <w:basedOn w:val="Normal"/>
    <w:next w:val="Normal"/>
    <w:link w:val="Heading3Char"/>
    <w:uiPriority w:val="9"/>
    <w:qFormat/>
    <w:rsid w:val="00A60F41"/>
    <w:pPr>
      <w:keepNext/>
      <w:keepLines/>
      <w:spacing w:before="180" w:after="180"/>
      <w:outlineLvl w:val="2"/>
    </w:pPr>
    <w:rPr>
      <w:rFonts w:asciiTheme="majorHAnsi" w:eastAsiaTheme="majorEastAsia" w:hAnsiTheme="majorHAnsi" w:cstheme="majorBidi"/>
      <w:bCs/>
      <w:color w:val="000000" w:themeColor="text1"/>
      <w:sz w:val="18"/>
    </w:rPr>
  </w:style>
  <w:style w:type="paragraph" w:styleId="Heading4">
    <w:name w:val="heading 4"/>
    <w:basedOn w:val="Normal"/>
    <w:next w:val="Normal"/>
    <w:link w:val="Heading4Char"/>
    <w:uiPriority w:val="9"/>
    <w:semiHidden/>
    <w:rsid w:val="00980BE7"/>
    <w:pPr>
      <w:keepNext/>
      <w:keepLines/>
      <w:spacing w:before="200"/>
      <w:outlineLvl w:val="3"/>
    </w:pPr>
    <w:rPr>
      <w:rFonts w:asciiTheme="majorHAnsi" w:eastAsiaTheme="majorEastAsia" w:hAnsiTheme="majorHAnsi" w:cstheme="majorBidi"/>
      <w:b/>
      <w:bCs/>
      <w:i/>
      <w:iCs/>
      <w:color w:val="7AB800" w:themeColor="accent1"/>
    </w:rPr>
  </w:style>
  <w:style w:type="paragraph" w:styleId="Heading5">
    <w:name w:val="heading 5"/>
    <w:basedOn w:val="Normal"/>
    <w:next w:val="Normal"/>
    <w:link w:val="Heading5Char"/>
    <w:uiPriority w:val="9"/>
    <w:semiHidden/>
    <w:unhideWhenUsed/>
    <w:qFormat/>
    <w:rsid w:val="00980BE7"/>
    <w:pPr>
      <w:keepNext/>
      <w:keepLines/>
      <w:spacing w:before="200"/>
      <w:outlineLvl w:val="4"/>
    </w:pPr>
    <w:rPr>
      <w:rFonts w:asciiTheme="majorHAnsi" w:eastAsiaTheme="majorEastAsia" w:hAnsiTheme="majorHAnsi" w:cstheme="majorBidi"/>
      <w:color w:val="3C5B00" w:themeColor="accent1" w:themeShade="7F"/>
    </w:rPr>
  </w:style>
  <w:style w:type="paragraph" w:styleId="Heading6">
    <w:name w:val="heading 6"/>
    <w:basedOn w:val="Normal"/>
    <w:next w:val="Normal"/>
    <w:link w:val="Heading6Char"/>
    <w:uiPriority w:val="9"/>
    <w:semiHidden/>
    <w:unhideWhenUsed/>
    <w:qFormat/>
    <w:rsid w:val="00980BE7"/>
    <w:pPr>
      <w:keepNext/>
      <w:keepLines/>
      <w:spacing w:before="200"/>
      <w:outlineLvl w:val="5"/>
    </w:pPr>
    <w:rPr>
      <w:rFonts w:asciiTheme="majorHAnsi" w:eastAsiaTheme="majorEastAsia" w:hAnsiTheme="majorHAnsi" w:cstheme="majorBidi"/>
      <w:i/>
      <w:iCs/>
      <w:color w:val="3C5B00" w:themeColor="accent1" w:themeShade="7F"/>
    </w:rPr>
  </w:style>
  <w:style w:type="paragraph" w:styleId="Heading7">
    <w:name w:val="heading 7"/>
    <w:basedOn w:val="Normal"/>
    <w:next w:val="Normal"/>
    <w:link w:val="Heading7Char"/>
    <w:uiPriority w:val="9"/>
    <w:semiHidden/>
    <w:unhideWhenUsed/>
    <w:qFormat/>
    <w:rsid w:val="00980B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05"/>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FD0A7C"/>
    <w:rPr>
      <w:rFonts w:asciiTheme="majorHAnsi" w:eastAsiaTheme="majorEastAsia" w:hAnsiTheme="majorHAnsi" w:cstheme="majorBidi"/>
      <w:b/>
      <w:bCs/>
      <w:color w:val="000000" w:themeColor="text1"/>
      <w:sz w:val="18"/>
      <w:szCs w:val="26"/>
    </w:rPr>
  </w:style>
  <w:style w:type="character" w:customStyle="1" w:styleId="Heading3Char">
    <w:name w:val="Heading 3 Char"/>
    <w:basedOn w:val="DefaultParagraphFont"/>
    <w:link w:val="Heading3"/>
    <w:uiPriority w:val="9"/>
    <w:rsid w:val="00A60F41"/>
    <w:rPr>
      <w:rFonts w:asciiTheme="majorHAnsi" w:eastAsiaTheme="majorEastAsia" w:hAnsiTheme="majorHAnsi" w:cstheme="majorBidi"/>
      <w:bCs/>
      <w:color w:val="000000" w:themeColor="text1"/>
      <w:sz w:val="18"/>
    </w:rPr>
  </w:style>
  <w:style w:type="paragraph" w:styleId="BodyText">
    <w:name w:val="Body Text"/>
    <w:basedOn w:val="Normal"/>
    <w:next w:val="BodyTextFirstIndent"/>
    <w:link w:val="BodyTextChar"/>
    <w:uiPriority w:val="99"/>
    <w:qFormat/>
    <w:rsid w:val="00B41A71"/>
  </w:style>
  <w:style w:type="character" w:customStyle="1" w:styleId="BodyTextChar">
    <w:name w:val="Body Text Char"/>
    <w:basedOn w:val="DefaultParagraphFont"/>
    <w:link w:val="BodyText"/>
    <w:uiPriority w:val="99"/>
    <w:rsid w:val="00B41A71"/>
    <w:rPr>
      <w:sz w:val="20"/>
    </w:rPr>
  </w:style>
  <w:style w:type="paragraph" w:styleId="BodyText2">
    <w:name w:val="Body Text 2"/>
    <w:aliases w:val="Smaller bodytext"/>
    <w:basedOn w:val="Normal"/>
    <w:link w:val="BodyText2Char"/>
    <w:uiPriority w:val="99"/>
    <w:semiHidden/>
    <w:qFormat/>
    <w:rsid w:val="00A60F41"/>
    <w:pPr>
      <w:spacing w:before="80" w:line="200" w:lineRule="atLeast"/>
    </w:pPr>
    <w:rPr>
      <w:sz w:val="16"/>
    </w:rPr>
  </w:style>
  <w:style w:type="character" w:customStyle="1" w:styleId="BodyText2Char">
    <w:name w:val="Body Text 2 Char"/>
    <w:aliases w:val="Smaller bodytext Char"/>
    <w:basedOn w:val="DefaultParagraphFont"/>
    <w:link w:val="BodyText2"/>
    <w:uiPriority w:val="99"/>
    <w:semiHidden/>
    <w:rsid w:val="00560E24"/>
    <w:rPr>
      <w:sz w:val="16"/>
    </w:rPr>
  </w:style>
  <w:style w:type="paragraph" w:styleId="Header">
    <w:name w:val="header"/>
    <w:basedOn w:val="Normal"/>
    <w:link w:val="HeaderChar"/>
    <w:uiPriority w:val="99"/>
    <w:semiHidden/>
    <w:rsid w:val="00B41A7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60E24"/>
    <w:rPr>
      <w:sz w:val="20"/>
    </w:rPr>
  </w:style>
  <w:style w:type="paragraph" w:styleId="Footer">
    <w:name w:val="footer"/>
    <w:basedOn w:val="Normal"/>
    <w:link w:val="FooterChar"/>
    <w:uiPriority w:val="99"/>
    <w:semiHidden/>
    <w:rsid w:val="00B41A71"/>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A60F41"/>
    <w:rPr>
      <w:sz w:val="20"/>
    </w:rPr>
  </w:style>
  <w:style w:type="paragraph" w:styleId="BalloonText">
    <w:name w:val="Balloon Text"/>
    <w:basedOn w:val="Normal"/>
    <w:link w:val="BalloonTextChar"/>
    <w:uiPriority w:val="99"/>
    <w:semiHidden/>
    <w:rsid w:val="00B41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A71"/>
    <w:rPr>
      <w:rFonts w:ascii="Tahoma" w:hAnsi="Tahoma" w:cs="Tahoma"/>
      <w:sz w:val="16"/>
      <w:szCs w:val="16"/>
    </w:rPr>
  </w:style>
  <w:style w:type="paragraph" w:styleId="Title">
    <w:name w:val="Title"/>
    <w:basedOn w:val="Normal"/>
    <w:next w:val="Normal"/>
    <w:link w:val="TitleChar"/>
    <w:uiPriority w:val="10"/>
    <w:semiHidden/>
    <w:qFormat/>
    <w:rsid w:val="00B41A71"/>
    <w:pPr>
      <w:pBdr>
        <w:bottom w:val="single" w:sz="8" w:space="4" w:color="7AB800"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leChar">
    <w:name w:val="Title Char"/>
    <w:basedOn w:val="DefaultParagraphFont"/>
    <w:link w:val="Title"/>
    <w:uiPriority w:val="10"/>
    <w:semiHidden/>
    <w:rsid w:val="00B41A71"/>
    <w:rPr>
      <w:rFonts w:asciiTheme="majorHAnsi" w:eastAsiaTheme="majorEastAsia" w:hAnsiTheme="majorHAnsi" w:cstheme="majorBidi"/>
      <w:color w:val="BFBFBF" w:themeColor="text2" w:themeShade="BF"/>
      <w:spacing w:val="5"/>
      <w:kern w:val="28"/>
      <w:sz w:val="52"/>
      <w:szCs w:val="52"/>
    </w:rPr>
  </w:style>
  <w:style w:type="paragraph" w:customStyle="1" w:styleId="ProjectText">
    <w:name w:val="Project Text"/>
    <w:basedOn w:val="Normal"/>
    <w:semiHidden/>
    <w:qFormat/>
    <w:rsid w:val="00C34618"/>
    <w:rPr>
      <w:rFonts w:asciiTheme="majorHAnsi" w:hAnsiTheme="majorHAnsi"/>
    </w:rPr>
  </w:style>
  <w:style w:type="table" w:styleId="TableGrid">
    <w:name w:val="Table Grid"/>
    <w:basedOn w:val="TableNormal"/>
    <w:uiPriority w:val="59"/>
    <w:rsid w:val="00C346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Title">
    <w:name w:val="HeadTitle"/>
    <w:basedOn w:val="Normal"/>
    <w:next w:val="BodyText"/>
    <w:semiHidden/>
    <w:qFormat/>
    <w:rsid w:val="00AA35C5"/>
    <w:pPr>
      <w:spacing w:after="680"/>
    </w:pPr>
    <w:rPr>
      <w:rFonts w:asciiTheme="majorHAnsi" w:hAnsiTheme="majorHAnsi"/>
      <w:b/>
      <w:caps/>
      <w:sz w:val="40"/>
    </w:rPr>
  </w:style>
  <w:style w:type="paragraph" w:styleId="ListBullet">
    <w:name w:val="List Bullet"/>
    <w:uiPriority w:val="99"/>
    <w:qFormat/>
    <w:rsid w:val="005C6464"/>
    <w:pPr>
      <w:numPr>
        <w:numId w:val="7"/>
      </w:numPr>
      <w:spacing w:line="240" w:lineRule="auto"/>
      <w:ind w:left="227" w:hanging="227"/>
    </w:pPr>
    <w:rPr>
      <w:sz w:val="20"/>
    </w:rPr>
  </w:style>
  <w:style w:type="paragraph" w:styleId="TOCHeading">
    <w:name w:val="TOC Heading"/>
    <w:basedOn w:val="Heading1"/>
    <w:next w:val="Normal"/>
    <w:uiPriority w:val="39"/>
    <w:semiHidden/>
    <w:unhideWhenUsed/>
    <w:qFormat/>
    <w:rsid w:val="00750D98"/>
    <w:pPr>
      <w:spacing w:before="480" w:line="276" w:lineRule="auto"/>
      <w:outlineLvl w:val="9"/>
    </w:pPr>
    <w:rPr>
      <w:color w:val="5B8900" w:themeColor="accent1" w:themeShade="BF"/>
      <w:lang w:val="en-US"/>
    </w:rPr>
  </w:style>
  <w:style w:type="paragraph" w:styleId="TOC2">
    <w:name w:val="toc 2"/>
    <w:basedOn w:val="Normal"/>
    <w:next w:val="Normal"/>
    <w:uiPriority w:val="39"/>
    <w:semiHidden/>
    <w:rsid w:val="00B63091"/>
    <w:pPr>
      <w:tabs>
        <w:tab w:val="left" w:pos="1134"/>
        <w:tab w:val="right" w:pos="7360"/>
      </w:tabs>
      <w:spacing w:after="40"/>
      <w:ind w:left="1134" w:hanging="425"/>
    </w:pPr>
    <w:rPr>
      <w:rFonts w:eastAsiaTheme="minorEastAsia"/>
      <w:lang w:val="en-US" w:eastAsia="sv-SE"/>
    </w:rPr>
  </w:style>
  <w:style w:type="paragraph" w:styleId="TOC1">
    <w:name w:val="toc 1"/>
    <w:basedOn w:val="Normal"/>
    <w:next w:val="Normal"/>
    <w:uiPriority w:val="39"/>
    <w:semiHidden/>
    <w:rsid w:val="00B63091"/>
    <w:pPr>
      <w:tabs>
        <w:tab w:val="left" w:pos="284"/>
        <w:tab w:val="right" w:pos="7360"/>
      </w:tabs>
      <w:spacing w:after="40"/>
      <w:ind w:left="284" w:hanging="284"/>
    </w:pPr>
    <w:rPr>
      <w:lang w:val="en-US"/>
    </w:rPr>
  </w:style>
  <w:style w:type="paragraph" w:styleId="TOC3">
    <w:name w:val="toc 3"/>
    <w:basedOn w:val="Normal"/>
    <w:next w:val="Normal"/>
    <w:uiPriority w:val="39"/>
    <w:semiHidden/>
    <w:rsid w:val="00B63091"/>
    <w:pPr>
      <w:tabs>
        <w:tab w:val="left" w:pos="2127"/>
        <w:tab w:val="right" w:pos="7360"/>
      </w:tabs>
      <w:spacing w:after="40"/>
      <w:ind w:left="2127" w:hanging="568"/>
    </w:pPr>
    <w:rPr>
      <w:lang w:val="en-US"/>
    </w:rPr>
  </w:style>
  <w:style w:type="character" w:styleId="Hyperlink">
    <w:name w:val="Hyperlink"/>
    <w:basedOn w:val="DefaultParagraphFont"/>
    <w:uiPriority w:val="99"/>
    <w:semiHidden/>
    <w:rsid w:val="00750D98"/>
    <w:rPr>
      <w:color w:val="000000" w:themeColor="hyperlink"/>
      <w:u w:val="single"/>
    </w:rPr>
  </w:style>
  <w:style w:type="paragraph" w:customStyle="1" w:styleId="Heading1withnumbering">
    <w:name w:val="Heading 1_ with numbering"/>
    <w:basedOn w:val="Heading1"/>
    <w:next w:val="BodyText"/>
    <w:uiPriority w:val="1"/>
    <w:semiHidden/>
    <w:qFormat/>
    <w:rsid w:val="00161985"/>
    <w:pPr>
      <w:numPr>
        <w:numId w:val="3"/>
      </w:numPr>
      <w:tabs>
        <w:tab w:val="left" w:pos="567"/>
      </w:tabs>
      <w:ind w:left="567" w:hanging="567"/>
    </w:pPr>
    <w:rPr>
      <w:lang w:val="en-US"/>
    </w:rPr>
  </w:style>
  <w:style w:type="paragraph" w:customStyle="1" w:styleId="Heading2withnumbering">
    <w:name w:val="Heading 2_ with numbering"/>
    <w:basedOn w:val="Heading2"/>
    <w:next w:val="BodyText"/>
    <w:uiPriority w:val="1"/>
    <w:semiHidden/>
    <w:qFormat/>
    <w:rsid w:val="00161985"/>
    <w:pPr>
      <w:numPr>
        <w:ilvl w:val="1"/>
        <w:numId w:val="3"/>
      </w:numPr>
      <w:tabs>
        <w:tab w:val="left" w:pos="567"/>
      </w:tabs>
      <w:ind w:left="567" w:hanging="567"/>
    </w:pPr>
  </w:style>
  <w:style w:type="paragraph" w:customStyle="1" w:styleId="Heading3withnumbering">
    <w:name w:val="Heading 3 _ with numbering"/>
    <w:basedOn w:val="Heading3"/>
    <w:next w:val="BodyText"/>
    <w:uiPriority w:val="1"/>
    <w:semiHidden/>
    <w:qFormat/>
    <w:rsid w:val="00161985"/>
    <w:pPr>
      <w:numPr>
        <w:ilvl w:val="2"/>
        <w:numId w:val="3"/>
      </w:numPr>
      <w:tabs>
        <w:tab w:val="left" w:pos="567"/>
      </w:tabs>
      <w:ind w:left="567" w:hanging="567"/>
    </w:pPr>
    <w:rPr>
      <w:lang w:val="en-US"/>
    </w:rPr>
  </w:style>
  <w:style w:type="paragraph" w:styleId="TOC5">
    <w:name w:val="toc 5"/>
    <w:basedOn w:val="Normal"/>
    <w:next w:val="Normal"/>
    <w:uiPriority w:val="98"/>
    <w:semiHidden/>
    <w:rsid w:val="00016B96"/>
    <w:pPr>
      <w:numPr>
        <w:numId w:val="4"/>
      </w:numPr>
      <w:tabs>
        <w:tab w:val="right" w:pos="7360"/>
      </w:tabs>
      <w:spacing w:after="40"/>
    </w:pPr>
    <w:rPr>
      <w:lang w:val="en-US"/>
    </w:rPr>
  </w:style>
  <w:style w:type="paragraph" w:styleId="TOC4">
    <w:name w:val="toc 4"/>
    <w:basedOn w:val="Normal"/>
    <w:next w:val="Normal"/>
    <w:uiPriority w:val="98"/>
    <w:semiHidden/>
    <w:rsid w:val="00B63091"/>
    <w:pPr>
      <w:tabs>
        <w:tab w:val="right" w:pos="7360"/>
      </w:tabs>
      <w:spacing w:after="40" w:line="220" w:lineRule="atLeast"/>
    </w:pPr>
  </w:style>
  <w:style w:type="paragraph" w:styleId="TOC6">
    <w:name w:val="toc 6"/>
    <w:basedOn w:val="Normal"/>
    <w:next w:val="Normal"/>
    <w:uiPriority w:val="98"/>
    <w:semiHidden/>
    <w:rsid w:val="00016B96"/>
    <w:pPr>
      <w:numPr>
        <w:numId w:val="5"/>
      </w:numPr>
      <w:tabs>
        <w:tab w:val="right" w:pos="7360"/>
      </w:tabs>
      <w:spacing w:after="40" w:line="220" w:lineRule="atLeast"/>
    </w:pPr>
    <w:rPr>
      <w:lang w:val="en-US"/>
    </w:rPr>
  </w:style>
  <w:style w:type="character" w:customStyle="1" w:styleId="Heading4Char">
    <w:name w:val="Heading 4 Char"/>
    <w:basedOn w:val="DefaultParagraphFont"/>
    <w:link w:val="Heading4"/>
    <w:uiPriority w:val="9"/>
    <w:semiHidden/>
    <w:rsid w:val="00980BE7"/>
    <w:rPr>
      <w:rFonts w:asciiTheme="majorHAnsi" w:eastAsiaTheme="majorEastAsia" w:hAnsiTheme="majorHAnsi" w:cstheme="majorBidi"/>
      <w:b/>
      <w:bCs/>
      <w:i/>
      <w:iCs/>
      <w:color w:val="7AB800" w:themeColor="accent1"/>
      <w:sz w:val="20"/>
    </w:rPr>
  </w:style>
  <w:style w:type="character" w:customStyle="1" w:styleId="Heading5Char">
    <w:name w:val="Heading 5 Char"/>
    <w:basedOn w:val="DefaultParagraphFont"/>
    <w:link w:val="Heading5"/>
    <w:uiPriority w:val="9"/>
    <w:semiHidden/>
    <w:rsid w:val="00980BE7"/>
    <w:rPr>
      <w:rFonts w:asciiTheme="majorHAnsi" w:eastAsiaTheme="majorEastAsia" w:hAnsiTheme="majorHAnsi" w:cstheme="majorBidi"/>
      <w:color w:val="3C5B00" w:themeColor="accent1" w:themeShade="7F"/>
      <w:sz w:val="20"/>
    </w:rPr>
  </w:style>
  <w:style w:type="character" w:customStyle="1" w:styleId="Heading6Char">
    <w:name w:val="Heading 6 Char"/>
    <w:basedOn w:val="DefaultParagraphFont"/>
    <w:link w:val="Heading6"/>
    <w:uiPriority w:val="9"/>
    <w:semiHidden/>
    <w:rsid w:val="00980BE7"/>
    <w:rPr>
      <w:rFonts w:asciiTheme="majorHAnsi" w:eastAsiaTheme="majorEastAsia" w:hAnsiTheme="majorHAnsi" w:cstheme="majorBidi"/>
      <w:i/>
      <w:iCs/>
      <w:color w:val="3C5B00" w:themeColor="accent1" w:themeShade="7F"/>
      <w:sz w:val="20"/>
    </w:rPr>
  </w:style>
  <w:style w:type="character" w:customStyle="1" w:styleId="Heading7Char">
    <w:name w:val="Heading 7 Char"/>
    <w:basedOn w:val="DefaultParagraphFont"/>
    <w:link w:val="Heading7"/>
    <w:uiPriority w:val="9"/>
    <w:semiHidden/>
    <w:rsid w:val="00980BE7"/>
    <w:rPr>
      <w:rFonts w:asciiTheme="majorHAnsi" w:eastAsiaTheme="majorEastAsia" w:hAnsiTheme="majorHAnsi" w:cstheme="majorBidi"/>
      <w:i/>
      <w:iCs/>
      <w:color w:val="404040" w:themeColor="text1" w:themeTint="BF"/>
      <w:sz w:val="20"/>
    </w:rPr>
  </w:style>
  <w:style w:type="paragraph" w:styleId="ListBullet2">
    <w:name w:val="List Bullet 2"/>
    <w:uiPriority w:val="99"/>
    <w:qFormat/>
    <w:rsid w:val="005C6464"/>
    <w:pPr>
      <w:numPr>
        <w:ilvl w:val="1"/>
        <w:numId w:val="7"/>
      </w:numPr>
      <w:spacing w:line="240" w:lineRule="auto"/>
      <w:ind w:left="794" w:hanging="227"/>
    </w:pPr>
    <w:rPr>
      <w:sz w:val="20"/>
    </w:rPr>
  </w:style>
  <w:style w:type="character" w:styleId="PlaceholderText">
    <w:name w:val="Placeholder Text"/>
    <w:basedOn w:val="DefaultParagraphFont"/>
    <w:uiPriority w:val="99"/>
    <w:semiHidden/>
    <w:rsid w:val="00942969"/>
    <w:rPr>
      <w:color w:val="808080"/>
    </w:rPr>
  </w:style>
  <w:style w:type="paragraph" w:customStyle="1" w:styleId="Ingress">
    <w:name w:val="Ingress"/>
    <w:basedOn w:val="Normal"/>
    <w:next w:val="BodyText"/>
    <w:qFormat/>
    <w:rsid w:val="000F0D34"/>
    <w:pPr>
      <w:spacing w:after="560"/>
    </w:pPr>
    <w:rPr>
      <w:rFonts w:ascii="Helvetica" w:hAnsi="Helvetica"/>
      <w:b/>
    </w:rPr>
  </w:style>
  <w:style w:type="paragraph" w:styleId="BodyTextFirstIndent">
    <w:name w:val="Body Text First Indent"/>
    <w:basedOn w:val="BodyText"/>
    <w:link w:val="BodyTextFirstIndentChar"/>
    <w:uiPriority w:val="99"/>
    <w:qFormat/>
    <w:rsid w:val="000F0D34"/>
    <w:pPr>
      <w:ind w:firstLine="284"/>
    </w:pPr>
  </w:style>
  <w:style w:type="character" w:customStyle="1" w:styleId="BodyTextFirstIndentChar">
    <w:name w:val="Body Text First Indent Char"/>
    <w:basedOn w:val="BodyTextChar"/>
    <w:link w:val="BodyTextFirstIndent"/>
    <w:uiPriority w:val="99"/>
    <w:rsid w:val="000F0D3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uiPriority="9"/>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semiHidden="0" w:uiPriority="39"/>
    <w:lsdException w:name="toc 6" w:semiHidden="0" w:uiPriority="39"/>
    <w:lsdException w:name="toc 7" w:uiPriority="39"/>
    <w:lsdException w:name="toc 8" w:uiPriority="39"/>
    <w:lsdException w:name="toc 9" w:uiPriority="39"/>
    <w:lsdException w:name="caption" w:uiPriority="35" w:qFormat="1"/>
    <w:lsdException w:name="List Bullet" w:semiHidden="0" w:qFormat="1"/>
    <w:lsdException w:name="List Bullet 2" w:qFormat="1"/>
    <w:lsdException w:name="Title" w:uiPriority="10" w:qFormat="1"/>
    <w:lsdException w:name="Default Paragraph Font" w:uiPriority="1" w:unhideWhenUsed="1"/>
    <w:lsdException w:name="Body Text" w:semiHidden="0" w:qFormat="1"/>
    <w:lsdException w:name="Subtitle" w:uiPriority="11" w:qFormat="1"/>
    <w:lsdException w:name="Body Text First Indent" w:semiHidden="0" w:qFormat="1"/>
    <w:lsdException w:name="Body Text 2" w:semiHidden="0"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0F0D34"/>
    <w:pPr>
      <w:spacing w:after="0" w:line="240" w:lineRule="atLeast"/>
    </w:pPr>
    <w:rPr>
      <w:noProof/>
      <w:sz w:val="20"/>
      <w:lang w:val="en-GB"/>
    </w:rPr>
  </w:style>
  <w:style w:type="paragraph" w:styleId="Heading1">
    <w:name w:val="heading 1"/>
    <w:basedOn w:val="Normal"/>
    <w:next w:val="Normal"/>
    <w:link w:val="Heading1Char"/>
    <w:uiPriority w:val="9"/>
    <w:qFormat/>
    <w:rsid w:val="000F7257"/>
    <w:pPr>
      <w:keepNext/>
      <w:keepLines/>
      <w:spacing w:before="240" w:after="240" w:line="260" w:lineRule="atLeast"/>
      <w:outlineLvl w:val="0"/>
    </w:pPr>
    <w:rPr>
      <w:rFonts w:asciiTheme="majorHAnsi" w:eastAsiaTheme="majorEastAsia" w:hAnsiTheme="majorHAnsi" w:cstheme="majorBidi"/>
      <w:b/>
      <w:bCs/>
      <w:color w:val="000000" w:themeColor="text1"/>
      <w:sz w:val="22"/>
      <w:szCs w:val="28"/>
    </w:rPr>
  </w:style>
  <w:style w:type="paragraph" w:styleId="Heading2">
    <w:name w:val="heading 2"/>
    <w:basedOn w:val="Normal"/>
    <w:next w:val="Normal"/>
    <w:link w:val="Heading2Char"/>
    <w:uiPriority w:val="9"/>
    <w:qFormat/>
    <w:rsid w:val="000F7257"/>
    <w:pPr>
      <w:keepNext/>
      <w:keepLines/>
      <w:spacing w:before="200" w:after="200"/>
      <w:outlineLvl w:val="1"/>
    </w:pPr>
    <w:rPr>
      <w:rFonts w:asciiTheme="majorHAnsi" w:eastAsiaTheme="majorEastAsia" w:hAnsiTheme="majorHAnsi" w:cstheme="majorBidi"/>
      <w:b/>
      <w:bCs/>
      <w:color w:val="000000" w:themeColor="text1"/>
      <w:sz w:val="18"/>
      <w:szCs w:val="26"/>
    </w:rPr>
  </w:style>
  <w:style w:type="paragraph" w:styleId="Heading3">
    <w:name w:val="heading 3"/>
    <w:basedOn w:val="Normal"/>
    <w:next w:val="Normal"/>
    <w:link w:val="Heading3Char"/>
    <w:uiPriority w:val="9"/>
    <w:qFormat/>
    <w:rsid w:val="00A60F41"/>
    <w:pPr>
      <w:keepNext/>
      <w:keepLines/>
      <w:spacing w:before="180" w:after="180"/>
      <w:outlineLvl w:val="2"/>
    </w:pPr>
    <w:rPr>
      <w:rFonts w:asciiTheme="majorHAnsi" w:eastAsiaTheme="majorEastAsia" w:hAnsiTheme="majorHAnsi" w:cstheme="majorBidi"/>
      <w:bCs/>
      <w:color w:val="000000" w:themeColor="text1"/>
      <w:sz w:val="18"/>
    </w:rPr>
  </w:style>
  <w:style w:type="paragraph" w:styleId="Heading4">
    <w:name w:val="heading 4"/>
    <w:basedOn w:val="Normal"/>
    <w:next w:val="Normal"/>
    <w:link w:val="Heading4Char"/>
    <w:uiPriority w:val="9"/>
    <w:semiHidden/>
    <w:rsid w:val="00980BE7"/>
    <w:pPr>
      <w:keepNext/>
      <w:keepLines/>
      <w:spacing w:before="200"/>
      <w:outlineLvl w:val="3"/>
    </w:pPr>
    <w:rPr>
      <w:rFonts w:asciiTheme="majorHAnsi" w:eastAsiaTheme="majorEastAsia" w:hAnsiTheme="majorHAnsi" w:cstheme="majorBidi"/>
      <w:b/>
      <w:bCs/>
      <w:i/>
      <w:iCs/>
      <w:color w:val="7AB800" w:themeColor="accent1"/>
    </w:rPr>
  </w:style>
  <w:style w:type="paragraph" w:styleId="Heading5">
    <w:name w:val="heading 5"/>
    <w:basedOn w:val="Normal"/>
    <w:next w:val="Normal"/>
    <w:link w:val="Heading5Char"/>
    <w:uiPriority w:val="9"/>
    <w:semiHidden/>
    <w:unhideWhenUsed/>
    <w:qFormat/>
    <w:rsid w:val="00980BE7"/>
    <w:pPr>
      <w:keepNext/>
      <w:keepLines/>
      <w:spacing w:before="200"/>
      <w:outlineLvl w:val="4"/>
    </w:pPr>
    <w:rPr>
      <w:rFonts w:asciiTheme="majorHAnsi" w:eastAsiaTheme="majorEastAsia" w:hAnsiTheme="majorHAnsi" w:cstheme="majorBidi"/>
      <w:color w:val="3C5B00" w:themeColor="accent1" w:themeShade="7F"/>
    </w:rPr>
  </w:style>
  <w:style w:type="paragraph" w:styleId="Heading6">
    <w:name w:val="heading 6"/>
    <w:basedOn w:val="Normal"/>
    <w:next w:val="Normal"/>
    <w:link w:val="Heading6Char"/>
    <w:uiPriority w:val="9"/>
    <w:semiHidden/>
    <w:unhideWhenUsed/>
    <w:qFormat/>
    <w:rsid w:val="00980BE7"/>
    <w:pPr>
      <w:keepNext/>
      <w:keepLines/>
      <w:spacing w:before="200"/>
      <w:outlineLvl w:val="5"/>
    </w:pPr>
    <w:rPr>
      <w:rFonts w:asciiTheme="majorHAnsi" w:eastAsiaTheme="majorEastAsia" w:hAnsiTheme="majorHAnsi" w:cstheme="majorBidi"/>
      <w:i/>
      <w:iCs/>
      <w:color w:val="3C5B00" w:themeColor="accent1" w:themeShade="7F"/>
    </w:rPr>
  </w:style>
  <w:style w:type="paragraph" w:styleId="Heading7">
    <w:name w:val="heading 7"/>
    <w:basedOn w:val="Normal"/>
    <w:next w:val="Normal"/>
    <w:link w:val="Heading7Char"/>
    <w:uiPriority w:val="9"/>
    <w:semiHidden/>
    <w:unhideWhenUsed/>
    <w:qFormat/>
    <w:rsid w:val="00980B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05"/>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FD0A7C"/>
    <w:rPr>
      <w:rFonts w:asciiTheme="majorHAnsi" w:eastAsiaTheme="majorEastAsia" w:hAnsiTheme="majorHAnsi" w:cstheme="majorBidi"/>
      <w:b/>
      <w:bCs/>
      <w:color w:val="000000" w:themeColor="text1"/>
      <w:sz w:val="18"/>
      <w:szCs w:val="26"/>
    </w:rPr>
  </w:style>
  <w:style w:type="character" w:customStyle="1" w:styleId="Heading3Char">
    <w:name w:val="Heading 3 Char"/>
    <w:basedOn w:val="DefaultParagraphFont"/>
    <w:link w:val="Heading3"/>
    <w:uiPriority w:val="9"/>
    <w:rsid w:val="00A60F41"/>
    <w:rPr>
      <w:rFonts w:asciiTheme="majorHAnsi" w:eastAsiaTheme="majorEastAsia" w:hAnsiTheme="majorHAnsi" w:cstheme="majorBidi"/>
      <w:bCs/>
      <w:color w:val="000000" w:themeColor="text1"/>
      <w:sz w:val="18"/>
    </w:rPr>
  </w:style>
  <w:style w:type="paragraph" w:styleId="BodyText">
    <w:name w:val="Body Text"/>
    <w:basedOn w:val="Normal"/>
    <w:next w:val="BodyTextFirstIndent"/>
    <w:link w:val="BodyTextChar"/>
    <w:uiPriority w:val="99"/>
    <w:qFormat/>
    <w:rsid w:val="00B41A71"/>
  </w:style>
  <w:style w:type="character" w:customStyle="1" w:styleId="BodyTextChar">
    <w:name w:val="Body Text Char"/>
    <w:basedOn w:val="DefaultParagraphFont"/>
    <w:link w:val="BodyText"/>
    <w:uiPriority w:val="99"/>
    <w:rsid w:val="00B41A71"/>
    <w:rPr>
      <w:sz w:val="20"/>
    </w:rPr>
  </w:style>
  <w:style w:type="paragraph" w:styleId="BodyText2">
    <w:name w:val="Body Text 2"/>
    <w:aliases w:val="Smaller bodytext"/>
    <w:basedOn w:val="Normal"/>
    <w:link w:val="BodyText2Char"/>
    <w:uiPriority w:val="99"/>
    <w:semiHidden/>
    <w:qFormat/>
    <w:rsid w:val="00A60F41"/>
    <w:pPr>
      <w:spacing w:before="80" w:line="200" w:lineRule="atLeast"/>
    </w:pPr>
    <w:rPr>
      <w:sz w:val="16"/>
    </w:rPr>
  </w:style>
  <w:style w:type="character" w:customStyle="1" w:styleId="BodyText2Char">
    <w:name w:val="Body Text 2 Char"/>
    <w:aliases w:val="Smaller bodytext Char"/>
    <w:basedOn w:val="DefaultParagraphFont"/>
    <w:link w:val="BodyText2"/>
    <w:uiPriority w:val="99"/>
    <w:semiHidden/>
    <w:rsid w:val="00560E24"/>
    <w:rPr>
      <w:sz w:val="16"/>
    </w:rPr>
  </w:style>
  <w:style w:type="paragraph" w:styleId="Header">
    <w:name w:val="header"/>
    <w:basedOn w:val="Normal"/>
    <w:link w:val="HeaderChar"/>
    <w:uiPriority w:val="99"/>
    <w:semiHidden/>
    <w:rsid w:val="00B41A7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60E24"/>
    <w:rPr>
      <w:sz w:val="20"/>
    </w:rPr>
  </w:style>
  <w:style w:type="paragraph" w:styleId="Footer">
    <w:name w:val="footer"/>
    <w:basedOn w:val="Normal"/>
    <w:link w:val="FooterChar"/>
    <w:uiPriority w:val="99"/>
    <w:semiHidden/>
    <w:rsid w:val="00B41A71"/>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A60F41"/>
    <w:rPr>
      <w:sz w:val="20"/>
    </w:rPr>
  </w:style>
  <w:style w:type="paragraph" w:styleId="BalloonText">
    <w:name w:val="Balloon Text"/>
    <w:basedOn w:val="Normal"/>
    <w:link w:val="BalloonTextChar"/>
    <w:uiPriority w:val="99"/>
    <w:semiHidden/>
    <w:rsid w:val="00B41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A71"/>
    <w:rPr>
      <w:rFonts w:ascii="Tahoma" w:hAnsi="Tahoma" w:cs="Tahoma"/>
      <w:sz w:val="16"/>
      <w:szCs w:val="16"/>
    </w:rPr>
  </w:style>
  <w:style w:type="paragraph" w:styleId="Title">
    <w:name w:val="Title"/>
    <w:basedOn w:val="Normal"/>
    <w:next w:val="Normal"/>
    <w:link w:val="TitleChar"/>
    <w:uiPriority w:val="10"/>
    <w:semiHidden/>
    <w:qFormat/>
    <w:rsid w:val="00B41A71"/>
    <w:pPr>
      <w:pBdr>
        <w:bottom w:val="single" w:sz="8" w:space="4" w:color="7AB800"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leChar">
    <w:name w:val="Title Char"/>
    <w:basedOn w:val="DefaultParagraphFont"/>
    <w:link w:val="Title"/>
    <w:uiPriority w:val="10"/>
    <w:semiHidden/>
    <w:rsid w:val="00B41A71"/>
    <w:rPr>
      <w:rFonts w:asciiTheme="majorHAnsi" w:eastAsiaTheme="majorEastAsia" w:hAnsiTheme="majorHAnsi" w:cstheme="majorBidi"/>
      <w:color w:val="BFBFBF" w:themeColor="text2" w:themeShade="BF"/>
      <w:spacing w:val="5"/>
      <w:kern w:val="28"/>
      <w:sz w:val="52"/>
      <w:szCs w:val="52"/>
    </w:rPr>
  </w:style>
  <w:style w:type="paragraph" w:customStyle="1" w:styleId="ProjectText">
    <w:name w:val="Project Text"/>
    <w:basedOn w:val="Normal"/>
    <w:semiHidden/>
    <w:qFormat/>
    <w:rsid w:val="00C34618"/>
    <w:rPr>
      <w:rFonts w:asciiTheme="majorHAnsi" w:hAnsiTheme="majorHAnsi"/>
    </w:rPr>
  </w:style>
  <w:style w:type="table" w:styleId="TableGrid">
    <w:name w:val="Table Grid"/>
    <w:basedOn w:val="TableNormal"/>
    <w:uiPriority w:val="59"/>
    <w:rsid w:val="00C346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Title">
    <w:name w:val="HeadTitle"/>
    <w:basedOn w:val="Normal"/>
    <w:next w:val="BodyText"/>
    <w:semiHidden/>
    <w:qFormat/>
    <w:rsid w:val="00AA35C5"/>
    <w:pPr>
      <w:spacing w:after="680"/>
    </w:pPr>
    <w:rPr>
      <w:rFonts w:asciiTheme="majorHAnsi" w:hAnsiTheme="majorHAnsi"/>
      <w:b/>
      <w:caps/>
      <w:sz w:val="40"/>
    </w:rPr>
  </w:style>
  <w:style w:type="paragraph" w:styleId="ListBullet">
    <w:name w:val="List Bullet"/>
    <w:uiPriority w:val="99"/>
    <w:qFormat/>
    <w:rsid w:val="005C6464"/>
    <w:pPr>
      <w:numPr>
        <w:numId w:val="7"/>
      </w:numPr>
      <w:spacing w:line="240" w:lineRule="auto"/>
      <w:ind w:left="227" w:hanging="227"/>
    </w:pPr>
    <w:rPr>
      <w:sz w:val="20"/>
    </w:rPr>
  </w:style>
  <w:style w:type="paragraph" w:styleId="TOCHeading">
    <w:name w:val="TOC Heading"/>
    <w:basedOn w:val="Heading1"/>
    <w:next w:val="Normal"/>
    <w:uiPriority w:val="39"/>
    <w:semiHidden/>
    <w:unhideWhenUsed/>
    <w:qFormat/>
    <w:rsid w:val="00750D98"/>
    <w:pPr>
      <w:spacing w:before="480" w:line="276" w:lineRule="auto"/>
      <w:outlineLvl w:val="9"/>
    </w:pPr>
    <w:rPr>
      <w:color w:val="5B8900" w:themeColor="accent1" w:themeShade="BF"/>
      <w:lang w:val="en-US"/>
    </w:rPr>
  </w:style>
  <w:style w:type="paragraph" w:styleId="TOC2">
    <w:name w:val="toc 2"/>
    <w:basedOn w:val="Normal"/>
    <w:next w:val="Normal"/>
    <w:uiPriority w:val="39"/>
    <w:semiHidden/>
    <w:rsid w:val="00B63091"/>
    <w:pPr>
      <w:tabs>
        <w:tab w:val="left" w:pos="1134"/>
        <w:tab w:val="right" w:pos="7360"/>
      </w:tabs>
      <w:spacing w:after="40"/>
      <w:ind w:left="1134" w:hanging="425"/>
    </w:pPr>
    <w:rPr>
      <w:rFonts w:eastAsiaTheme="minorEastAsia"/>
      <w:lang w:val="en-US" w:eastAsia="sv-SE"/>
    </w:rPr>
  </w:style>
  <w:style w:type="paragraph" w:styleId="TOC1">
    <w:name w:val="toc 1"/>
    <w:basedOn w:val="Normal"/>
    <w:next w:val="Normal"/>
    <w:uiPriority w:val="39"/>
    <w:semiHidden/>
    <w:rsid w:val="00B63091"/>
    <w:pPr>
      <w:tabs>
        <w:tab w:val="left" w:pos="284"/>
        <w:tab w:val="right" w:pos="7360"/>
      </w:tabs>
      <w:spacing w:after="40"/>
      <w:ind w:left="284" w:hanging="284"/>
    </w:pPr>
    <w:rPr>
      <w:lang w:val="en-US"/>
    </w:rPr>
  </w:style>
  <w:style w:type="paragraph" w:styleId="TOC3">
    <w:name w:val="toc 3"/>
    <w:basedOn w:val="Normal"/>
    <w:next w:val="Normal"/>
    <w:uiPriority w:val="39"/>
    <w:semiHidden/>
    <w:rsid w:val="00B63091"/>
    <w:pPr>
      <w:tabs>
        <w:tab w:val="left" w:pos="2127"/>
        <w:tab w:val="right" w:pos="7360"/>
      </w:tabs>
      <w:spacing w:after="40"/>
      <w:ind w:left="2127" w:hanging="568"/>
    </w:pPr>
    <w:rPr>
      <w:lang w:val="en-US"/>
    </w:rPr>
  </w:style>
  <w:style w:type="character" w:styleId="Hyperlink">
    <w:name w:val="Hyperlink"/>
    <w:basedOn w:val="DefaultParagraphFont"/>
    <w:uiPriority w:val="99"/>
    <w:semiHidden/>
    <w:rsid w:val="00750D98"/>
    <w:rPr>
      <w:color w:val="000000" w:themeColor="hyperlink"/>
      <w:u w:val="single"/>
    </w:rPr>
  </w:style>
  <w:style w:type="paragraph" w:customStyle="1" w:styleId="Heading1withnumbering">
    <w:name w:val="Heading 1_ with numbering"/>
    <w:basedOn w:val="Heading1"/>
    <w:next w:val="BodyText"/>
    <w:uiPriority w:val="1"/>
    <w:semiHidden/>
    <w:qFormat/>
    <w:rsid w:val="00161985"/>
    <w:pPr>
      <w:numPr>
        <w:numId w:val="3"/>
      </w:numPr>
      <w:tabs>
        <w:tab w:val="left" w:pos="567"/>
      </w:tabs>
      <w:ind w:left="567" w:hanging="567"/>
    </w:pPr>
    <w:rPr>
      <w:lang w:val="en-US"/>
    </w:rPr>
  </w:style>
  <w:style w:type="paragraph" w:customStyle="1" w:styleId="Heading2withnumbering">
    <w:name w:val="Heading 2_ with numbering"/>
    <w:basedOn w:val="Heading2"/>
    <w:next w:val="BodyText"/>
    <w:uiPriority w:val="1"/>
    <w:semiHidden/>
    <w:qFormat/>
    <w:rsid w:val="00161985"/>
    <w:pPr>
      <w:numPr>
        <w:ilvl w:val="1"/>
        <w:numId w:val="3"/>
      </w:numPr>
      <w:tabs>
        <w:tab w:val="left" w:pos="567"/>
      </w:tabs>
      <w:ind w:left="567" w:hanging="567"/>
    </w:pPr>
  </w:style>
  <w:style w:type="paragraph" w:customStyle="1" w:styleId="Heading3withnumbering">
    <w:name w:val="Heading 3 _ with numbering"/>
    <w:basedOn w:val="Heading3"/>
    <w:next w:val="BodyText"/>
    <w:uiPriority w:val="1"/>
    <w:semiHidden/>
    <w:qFormat/>
    <w:rsid w:val="00161985"/>
    <w:pPr>
      <w:numPr>
        <w:ilvl w:val="2"/>
        <w:numId w:val="3"/>
      </w:numPr>
      <w:tabs>
        <w:tab w:val="left" w:pos="567"/>
      </w:tabs>
      <w:ind w:left="567" w:hanging="567"/>
    </w:pPr>
    <w:rPr>
      <w:lang w:val="en-US"/>
    </w:rPr>
  </w:style>
  <w:style w:type="paragraph" w:styleId="TOC5">
    <w:name w:val="toc 5"/>
    <w:basedOn w:val="Normal"/>
    <w:next w:val="Normal"/>
    <w:uiPriority w:val="98"/>
    <w:semiHidden/>
    <w:rsid w:val="00016B96"/>
    <w:pPr>
      <w:numPr>
        <w:numId w:val="4"/>
      </w:numPr>
      <w:tabs>
        <w:tab w:val="right" w:pos="7360"/>
      </w:tabs>
      <w:spacing w:after="40"/>
    </w:pPr>
    <w:rPr>
      <w:lang w:val="en-US"/>
    </w:rPr>
  </w:style>
  <w:style w:type="paragraph" w:styleId="TOC4">
    <w:name w:val="toc 4"/>
    <w:basedOn w:val="Normal"/>
    <w:next w:val="Normal"/>
    <w:uiPriority w:val="98"/>
    <w:semiHidden/>
    <w:rsid w:val="00B63091"/>
    <w:pPr>
      <w:tabs>
        <w:tab w:val="right" w:pos="7360"/>
      </w:tabs>
      <w:spacing w:after="40" w:line="220" w:lineRule="atLeast"/>
    </w:pPr>
  </w:style>
  <w:style w:type="paragraph" w:styleId="TOC6">
    <w:name w:val="toc 6"/>
    <w:basedOn w:val="Normal"/>
    <w:next w:val="Normal"/>
    <w:uiPriority w:val="98"/>
    <w:semiHidden/>
    <w:rsid w:val="00016B96"/>
    <w:pPr>
      <w:numPr>
        <w:numId w:val="5"/>
      </w:numPr>
      <w:tabs>
        <w:tab w:val="right" w:pos="7360"/>
      </w:tabs>
      <w:spacing w:after="40" w:line="220" w:lineRule="atLeast"/>
    </w:pPr>
    <w:rPr>
      <w:lang w:val="en-US"/>
    </w:rPr>
  </w:style>
  <w:style w:type="character" w:customStyle="1" w:styleId="Heading4Char">
    <w:name w:val="Heading 4 Char"/>
    <w:basedOn w:val="DefaultParagraphFont"/>
    <w:link w:val="Heading4"/>
    <w:uiPriority w:val="9"/>
    <w:semiHidden/>
    <w:rsid w:val="00980BE7"/>
    <w:rPr>
      <w:rFonts w:asciiTheme="majorHAnsi" w:eastAsiaTheme="majorEastAsia" w:hAnsiTheme="majorHAnsi" w:cstheme="majorBidi"/>
      <w:b/>
      <w:bCs/>
      <w:i/>
      <w:iCs/>
      <w:color w:val="7AB800" w:themeColor="accent1"/>
      <w:sz w:val="20"/>
    </w:rPr>
  </w:style>
  <w:style w:type="character" w:customStyle="1" w:styleId="Heading5Char">
    <w:name w:val="Heading 5 Char"/>
    <w:basedOn w:val="DefaultParagraphFont"/>
    <w:link w:val="Heading5"/>
    <w:uiPriority w:val="9"/>
    <w:semiHidden/>
    <w:rsid w:val="00980BE7"/>
    <w:rPr>
      <w:rFonts w:asciiTheme="majorHAnsi" w:eastAsiaTheme="majorEastAsia" w:hAnsiTheme="majorHAnsi" w:cstheme="majorBidi"/>
      <w:color w:val="3C5B00" w:themeColor="accent1" w:themeShade="7F"/>
      <w:sz w:val="20"/>
    </w:rPr>
  </w:style>
  <w:style w:type="character" w:customStyle="1" w:styleId="Heading6Char">
    <w:name w:val="Heading 6 Char"/>
    <w:basedOn w:val="DefaultParagraphFont"/>
    <w:link w:val="Heading6"/>
    <w:uiPriority w:val="9"/>
    <w:semiHidden/>
    <w:rsid w:val="00980BE7"/>
    <w:rPr>
      <w:rFonts w:asciiTheme="majorHAnsi" w:eastAsiaTheme="majorEastAsia" w:hAnsiTheme="majorHAnsi" w:cstheme="majorBidi"/>
      <w:i/>
      <w:iCs/>
      <w:color w:val="3C5B00" w:themeColor="accent1" w:themeShade="7F"/>
      <w:sz w:val="20"/>
    </w:rPr>
  </w:style>
  <w:style w:type="character" w:customStyle="1" w:styleId="Heading7Char">
    <w:name w:val="Heading 7 Char"/>
    <w:basedOn w:val="DefaultParagraphFont"/>
    <w:link w:val="Heading7"/>
    <w:uiPriority w:val="9"/>
    <w:semiHidden/>
    <w:rsid w:val="00980BE7"/>
    <w:rPr>
      <w:rFonts w:asciiTheme="majorHAnsi" w:eastAsiaTheme="majorEastAsia" w:hAnsiTheme="majorHAnsi" w:cstheme="majorBidi"/>
      <w:i/>
      <w:iCs/>
      <w:color w:val="404040" w:themeColor="text1" w:themeTint="BF"/>
      <w:sz w:val="20"/>
    </w:rPr>
  </w:style>
  <w:style w:type="paragraph" w:styleId="ListBullet2">
    <w:name w:val="List Bullet 2"/>
    <w:uiPriority w:val="99"/>
    <w:qFormat/>
    <w:rsid w:val="005C6464"/>
    <w:pPr>
      <w:numPr>
        <w:ilvl w:val="1"/>
        <w:numId w:val="7"/>
      </w:numPr>
      <w:spacing w:line="240" w:lineRule="auto"/>
      <w:ind w:left="794" w:hanging="227"/>
    </w:pPr>
    <w:rPr>
      <w:sz w:val="20"/>
    </w:rPr>
  </w:style>
  <w:style w:type="character" w:styleId="PlaceholderText">
    <w:name w:val="Placeholder Text"/>
    <w:basedOn w:val="DefaultParagraphFont"/>
    <w:uiPriority w:val="99"/>
    <w:semiHidden/>
    <w:rsid w:val="00942969"/>
    <w:rPr>
      <w:color w:val="808080"/>
    </w:rPr>
  </w:style>
  <w:style w:type="paragraph" w:customStyle="1" w:styleId="Ingress">
    <w:name w:val="Ingress"/>
    <w:basedOn w:val="Normal"/>
    <w:next w:val="BodyText"/>
    <w:qFormat/>
    <w:rsid w:val="000F0D34"/>
    <w:pPr>
      <w:spacing w:after="560"/>
    </w:pPr>
    <w:rPr>
      <w:rFonts w:ascii="Helvetica" w:hAnsi="Helvetica"/>
      <w:b/>
    </w:rPr>
  </w:style>
  <w:style w:type="paragraph" w:styleId="BodyTextFirstIndent">
    <w:name w:val="Body Text First Indent"/>
    <w:basedOn w:val="BodyText"/>
    <w:link w:val="BodyTextFirstIndentChar"/>
    <w:uiPriority w:val="99"/>
    <w:qFormat/>
    <w:rsid w:val="000F0D34"/>
    <w:pPr>
      <w:ind w:firstLine="284"/>
    </w:pPr>
  </w:style>
  <w:style w:type="character" w:customStyle="1" w:styleId="BodyTextFirstIndentChar">
    <w:name w:val="Body Text First Indent Char"/>
    <w:basedOn w:val="BodyTextChar"/>
    <w:link w:val="BodyTextFirstIndent"/>
    <w:uiPriority w:val="99"/>
    <w:rsid w:val="000F0D3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gm@intr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Intrum">
      <a:dk1>
        <a:srgbClr val="000000"/>
      </a:dk1>
      <a:lt1>
        <a:srgbClr val="FFFFFF"/>
      </a:lt1>
      <a:dk2>
        <a:srgbClr val="FFFFFF"/>
      </a:dk2>
      <a:lt2>
        <a:srgbClr val="808080"/>
      </a:lt2>
      <a:accent1>
        <a:srgbClr val="7AB800"/>
      </a:accent1>
      <a:accent2>
        <a:srgbClr val="9C5FB5"/>
      </a:accent2>
      <a:accent3>
        <a:srgbClr val="E37222"/>
      </a:accent3>
      <a:accent4>
        <a:srgbClr val="82786F"/>
      </a:accent4>
      <a:accent5>
        <a:srgbClr val="000000"/>
      </a:accent5>
      <a:accent6>
        <a:srgbClr val="000000"/>
      </a:accent6>
      <a:hlink>
        <a:srgbClr val="000000"/>
      </a:hlink>
      <a:folHlink>
        <a:srgbClr val="000000"/>
      </a:folHlink>
    </a:clrScheme>
    <a:fontScheme name="Intrum">
      <a:majorFont>
        <a:latin typeface="Helvetic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FFFE-6407-49F1-9900-B37F1951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7334</Characters>
  <Application>Microsoft Office Word</Application>
  <DocSecurity>0</DocSecurity>
  <Lines>61</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computers</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Närling</dc:creator>
  <cp:lastModifiedBy>Annika Närling</cp:lastModifiedBy>
  <cp:revision>2</cp:revision>
  <cp:lastPrinted>2010-03-23T12:50:00Z</cp:lastPrinted>
  <dcterms:created xsi:type="dcterms:W3CDTF">2016-11-18T11:25:00Z</dcterms:created>
  <dcterms:modified xsi:type="dcterms:W3CDTF">2016-11-18T11:25:00Z</dcterms:modified>
</cp:coreProperties>
</file>